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7714EB">
        <w:t xml:space="preserve"> Jiří Batysta, DiS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7714EB">
        <w:t xml:space="preserve"> Krizové řízení v PČR – činnost složek IZS při konkrétní</w:t>
      </w:r>
      <w:r w:rsidR="007714EB">
        <w:br/>
        <w:t xml:space="preserve">                                           mimořádné události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7A7069">
        <w:t xml:space="preserve">: </w:t>
      </w:r>
      <w:r w:rsidR="0047305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36623D">
        <w:t xml:space="preserve"> Ing. Vladimír Keprt, Ph.D.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A13A92" w:rsidRPr="00575ECB" w:rsidTr="00575ECB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332D78" w:rsidRPr="00575ECB" w:rsidRDefault="00332D78" w:rsidP="00575ECB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332D78" w:rsidRPr="00575ECB" w:rsidRDefault="00332D78" w:rsidP="00575ECB">
            <w:pPr>
              <w:pStyle w:val="Normlnweb"/>
              <w:spacing w:before="119" w:beforeAutospacing="0" w:after="62"/>
              <w:rPr>
                <w:b/>
              </w:rPr>
            </w:pPr>
            <w:r w:rsidRPr="00575ECB">
              <w:rPr>
                <w:b/>
              </w:rPr>
              <w:t>Kritérium hodnocení</w:t>
            </w:r>
          </w:p>
          <w:p w:rsidR="00A13A92" w:rsidRPr="00BE5582" w:rsidRDefault="00332D78" w:rsidP="00575ECB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575ECB">
              <w:rPr>
                <w:b/>
              </w:rPr>
              <w:t>Stupeň hodnocení</w:t>
            </w:r>
          </w:p>
        </w:tc>
      </w:tr>
      <w:tr w:rsidR="00A13A92" w:rsidRPr="00575ECB" w:rsidTr="00575ECB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13A92" w:rsidRPr="00575ECB" w:rsidTr="00575ECB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A13A92" w:rsidRPr="00BE5582" w:rsidRDefault="00A13A92" w:rsidP="00ED3CB9"/>
        </w:tc>
        <w:tc>
          <w:tcPr>
            <w:tcW w:w="1123" w:type="dxa"/>
            <w:shd w:val="clear" w:color="auto" w:fill="auto"/>
          </w:tcPr>
          <w:p w:rsidR="00A13A92" w:rsidRPr="00BE5582" w:rsidRDefault="00A13A92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A13A92" w:rsidRPr="00BE5582" w:rsidRDefault="00A13A92" w:rsidP="00575EC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Default="00A13A92" w:rsidP="00582678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F97BB3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Default="00A13A92" w:rsidP="00582678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26D0B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Default="00A13A92" w:rsidP="00582678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A26D0B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Default="00A13A92" w:rsidP="00582678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A26D0B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Pr="00BE5582" w:rsidRDefault="00A13A92" w:rsidP="00582678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26D0B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Default="00A13A92" w:rsidP="00582678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A13A92" w:rsidRPr="00575ECB" w:rsidRDefault="00372991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Default="00A13A92" w:rsidP="00582678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26D0B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Default="00A13A92" w:rsidP="00582678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26D0B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Pr="00BE5582" w:rsidRDefault="00A13A92" w:rsidP="00582678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26D0B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Default="00A13A92" w:rsidP="00582678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26D0B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Default="00A13A92" w:rsidP="00582678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26D0B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A13A92" w:rsidRDefault="00A13A92" w:rsidP="00582678">
            <w:r>
              <w:t>uplatnění práce v praxi / výuce</w:t>
            </w:r>
          </w:p>
        </w:tc>
        <w:tc>
          <w:tcPr>
            <w:tcW w:w="441" w:type="dxa"/>
            <w:shd w:val="clear" w:color="auto" w:fill="auto"/>
          </w:tcPr>
          <w:p w:rsidR="00A13A92" w:rsidRPr="00575ECB" w:rsidRDefault="00372991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13A92" w:rsidRPr="00575ECB" w:rsidTr="00575ECB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13A92" w:rsidRPr="00575ECB" w:rsidRDefault="00A13A92" w:rsidP="00582678">
            <w:pPr>
              <w:rPr>
                <w:b/>
              </w:rPr>
            </w:pPr>
            <w:r w:rsidRPr="00575ECB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3A92" w:rsidRPr="00575ECB" w:rsidRDefault="00A13A92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82678" w:rsidRPr="00575ECB" w:rsidTr="00575ECB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2678" w:rsidRPr="00575ECB" w:rsidRDefault="00582678" w:rsidP="00575ECB">
            <w:pPr>
              <w:rPr>
                <w:b/>
              </w:rPr>
            </w:pPr>
            <w:r w:rsidRPr="00575ECB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82678" w:rsidRPr="00575ECB" w:rsidRDefault="00582678" w:rsidP="00575EC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75ECB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82678" w:rsidRPr="00575ECB" w:rsidRDefault="00582678" w:rsidP="00575ECB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82678" w:rsidRPr="0036623D" w:rsidRDefault="00582678" w:rsidP="00575ECB">
            <w:pPr>
              <w:pStyle w:val="Normln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36623D">
              <w:rPr>
                <w:b/>
                <w:strike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82678" w:rsidRPr="00575ECB" w:rsidRDefault="00582678" w:rsidP="00575ECB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36623D" w:rsidRDefault="0036623D" w:rsidP="0036623D">
      <w:pPr>
        <w:ind w:firstLine="708"/>
        <w:jc w:val="both"/>
      </w:pPr>
    </w:p>
    <w:p w:rsidR="00372991" w:rsidRDefault="00BA1C2C" w:rsidP="004622EC">
      <w:pPr>
        <w:pStyle w:val="Normlnweb"/>
        <w:spacing w:before="0" w:beforeAutospacing="0" w:after="0"/>
        <w:ind w:firstLine="709"/>
        <w:jc w:val="both"/>
      </w:pPr>
      <w:r>
        <w:t>Hodnocená bakalářská práce se zabývá aktuálním tématem,</w:t>
      </w:r>
      <w:r w:rsidR="00A26D0B">
        <w:t xml:space="preserve"> jakým je problematika </w:t>
      </w:r>
      <w:r w:rsidR="00F97BB3">
        <w:t>nasazení složek</w:t>
      </w:r>
      <w:r w:rsidR="00A26D0B">
        <w:t xml:space="preserve"> Integrovaného záchranného systému</w:t>
      </w:r>
      <w:r>
        <w:t>. Deklarovaný cíl byl naplněn odpovídajícím způsobem</w:t>
      </w:r>
      <w:r w:rsidR="00887A99">
        <w:t xml:space="preserve">. Práce je </w:t>
      </w:r>
      <w:r>
        <w:t xml:space="preserve">přehledná, srozumitelná, jednotlivé části na sebe logicky navazují. </w:t>
      </w:r>
      <w:r w:rsidR="00F97BB3">
        <w:t>Za drobnější nedostatky</w:t>
      </w:r>
      <w:r w:rsidR="004622EC">
        <w:t xml:space="preserve"> práce považuji </w:t>
      </w:r>
      <w:r>
        <w:t>přílišnou popisnost</w:t>
      </w:r>
      <w:r w:rsidR="00887A99">
        <w:t>,</w:t>
      </w:r>
      <w:r w:rsidR="004622EC">
        <w:t xml:space="preserve"> méně zřejmé použití metod vyhodnocení získaných informací,</w:t>
      </w:r>
      <w:r w:rsidR="00887A99">
        <w:t xml:space="preserve"> </w:t>
      </w:r>
      <w:r>
        <w:t>občasné překlepy a nesprávné jazykové formulace.</w:t>
      </w:r>
      <w:r w:rsidR="00A8374E">
        <w:t xml:space="preserve"> </w:t>
      </w:r>
      <w:r w:rsidR="00372991">
        <w:t>Též rozsah použité literatury byl menší, zahraniční prameny nebyly použity vůbec.</w:t>
      </w:r>
    </w:p>
    <w:p w:rsidR="00BA1C2C" w:rsidRDefault="00372991" w:rsidP="004622EC">
      <w:pPr>
        <w:pStyle w:val="Normlnweb"/>
        <w:spacing w:before="0" w:beforeAutospacing="0" w:after="0"/>
        <w:ind w:firstLine="709"/>
        <w:jc w:val="both"/>
      </w:pPr>
      <w:r>
        <w:t xml:space="preserve"> </w:t>
      </w:r>
      <w:r w:rsidR="00A8374E">
        <w:t>Na druhou stranu velmi pozitivně hodnotím získání autentických informac</w:t>
      </w:r>
      <w:r w:rsidR="00F97BB3">
        <w:t>í z nasazení složek IZS při konkrétní mimořádné události</w:t>
      </w:r>
      <w:r>
        <w:t xml:space="preserve"> a provedený průzkum dopadu mimořádné události na vnímání okolní veřejnosti. Stejně tak pohlížím na praktické závěry práce a rámcová doporučení, jak řešit zjištěné problémy.</w:t>
      </w:r>
    </w:p>
    <w:p w:rsidR="0036623D" w:rsidRDefault="0036623D" w:rsidP="0036623D">
      <w:pPr>
        <w:ind w:firstLine="708"/>
        <w:jc w:val="both"/>
      </w:pPr>
      <w:r>
        <w:t>Závě</w:t>
      </w:r>
      <w:r w:rsidR="00F97BB3">
        <w:t>rem lze konstatovat, že student</w:t>
      </w:r>
      <w:r>
        <w:t xml:space="preserve"> splnil požadavky na tvorbu bakalářské práce velmi kvalitním způsobem. </w:t>
      </w:r>
    </w:p>
    <w:p w:rsidR="0036623D" w:rsidRDefault="0036623D" w:rsidP="0036623D">
      <w:pPr>
        <w:pStyle w:val="Normlnweb"/>
        <w:spacing w:before="0" w:beforeAutospacing="0" w:after="0"/>
        <w:ind w:firstLine="708"/>
        <w:jc w:val="both"/>
      </w:pPr>
      <w:r>
        <w:t xml:space="preserve">Práci </w:t>
      </w:r>
      <w:r>
        <w:rPr>
          <w:b/>
        </w:rPr>
        <w:t xml:space="preserve">doporučuji k obhajobě </w:t>
      </w:r>
      <w:r>
        <w:t xml:space="preserve">se stupněm klasifikace </w:t>
      </w:r>
      <w:r>
        <w:rPr>
          <w:b/>
        </w:rPr>
        <w:t>VELMI DOBRÝ.</w:t>
      </w:r>
    </w:p>
    <w:p w:rsidR="0036623D" w:rsidRDefault="0036623D" w:rsidP="0036623D">
      <w:pPr>
        <w:pStyle w:val="Normlnweb"/>
        <w:spacing w:before="0" w:beforeAutospacing="0" w:after="0"/>
        <w:ind w:firstLine="708"/>
        <w:jc w:val="both"/>
      </w:pPr>
    </w:p>
    <w:p w:rsidR="0036623D" w:rsidRDefault="0036623D" w:rsidP="0036623D">
      <w:pPr>
        <w:pStyle w:val="Normlnweb"/>
        <w:spacing w:before="0" w:beforeAutospacing="0" w:after="0"/>
        <w:ind w:firstLine="708"/>
        <w:jc w:val="both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887A99" w:rsidRDefault="00887A99" w:rsidP="00887A99">
      <w:pPr>
        <w:pStyle w:val="Normlnweb"/>
        <w:numPr>
          <w:ilvl w:val="0"/>
          <w:numId w:val="1"/>
        </w:numPr>
        <w:spacing w:after="0"/>
      </w:pPr>
      <w:r>
        <w:t>Vys</w:t>
      </w:r>
      <w:r w:rsidR="00A26D0B">
        <w:t>větlete, k čemu se používá Winterlingova krizová matice.</w:t>
      </w:r>
    </w:p>
    <w:p w:rsidR="00372991" w:rsidRDefault="00372991" w:rsidP="00372991">
      <w:pPr>
        <w:pStyle w:val="Normlnweb"/>
        <w:numPr>
          <w:ilvl w:val="0"/>
          <w:numId w:val="1"/>
        </w:numPr>
        <w:spacing w:after="0"/>
      </w:pPr>
      <w:r>
        <w:t>Vysvětlete pojem antropogenní havárie a vyjmenujte jejich hlavní kategorie.</w:t>
      </w:r>
    </w:p>
    <w:p w:rsidR="00A26D0B" w:rsidRDefault="00A26D0B" w:rsidP="00372991">
      <w:pPr>
        <w:pStyle w:val="Normlnweb"/>
        <w:spacing w:after="0"/>
      </w:pPr>
    </w:p>
    <w:p w:rsidR="00EF2B4B" w:rsidRDefault="00EF2B4B">
      <w:pPr>
        <w:pStyle w:val="Normlnweb"/>
        <w:spacing w:after="0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</w:t>
      </w:r>
      <w:r w:rsidR="00A26D0B">
        <w:t>1. května 2014</w:t>
      </w:r>
      <w:r w:rsidR="00EF2B4B">
        <w:t>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883756" w:rsidRDefault="00883756">
      <w:pPr>
        <w:pStyle w:val="Normlnweb"/>
        <w:spacing w:after="0"/>
      </w:pPr>
    </w:p>
    <w:sectPr w:rsidR="00883756" w:rsidSect="00A3605C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692" w:rsidRDefault="00DC1692">
      <w:r>
        <w:separator/>
      </w:r>
    </w:p>
  </w:endnote>
  <w:endnote w:type="continuationSeparator" w:id="1">
    <w:p w:rsidR="00DC1692" w:rsidRDefault="00DC1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D9" w:rsidRPr="00A3605C" w:rsidRDefault="008516D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516D9" w:rsidRPr="00A3605C" w:rsidRDefault="008516D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Slovní vyjádření</w:t>
          </w:r>
        </w:p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VÝBORNÝ (excellent)</w:t>
          </w:r>
        </w:p>
        <w:p w:rsidR="008516D9" w:rsidRPr="00575ECB" w:rsidRDefault="008516D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VELMI DOBRÝ (very good)</w:t>
          </w:r>
        </w:p>
        <w:p w:rsidR="008516D9" w:rsidRPr="00575ECB" w:rsidRDefault="008516D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DOBRÝ (good)</w:t>
          </w:r>
        </w:p>
        <w:p w:rsidR="008516D9" w:rsidRPr="00575ECB" w:rsidRDefault="008516D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USPOKOJIVÝ (satisfactory)</w:t>
          </w:r>
        </w:p>
        <w:p w:rsidR="008516D9" w:rsidRPr="00575ECB" w:rsidRDefault="008516D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DOSTATEČNÝ (sufficient)</w:t>
          </w:r>
        </w:p>
        <w:p w:rsidR="008516D9" w:rsidRPr="00575ECB" w:rsidRDefault="008516D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516D9" w:rsidRPr="00575ECB" w:rsidTr="00575ECB">
      <w:trPr>
        <w:jc w:val="center"/>
      </w:trPr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75ECB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516D9" w:rsidRPr="00575ECB" w:rsidRDefault="008516D9" w:rsidP="00575ECB">
          <w:pPr>
            <w:jc w:val="both"/>
            <w:rPr>
              <w:bCs/>
              <w:color w:val="999999"/>
              <w:sz w:val="20"/>
              <w:szCs w:val="20"/>
            </w:rPr>
          </w:pPr>
          <w:r w:rsidRPr="00575ECB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575ECB">
            <w:rPr>
              <w:bCs/>
              <w:color w:val="999999"/>
              <w:sz w:val="20"/>
              <w:szCs w:val="20"/>
            </w:rPr>
            <w:t>fail)</w:t>
          </w:r>
        </w:p>
        <w:p w:rsidR="008516D9" w:rsidRPr="00575ECB" w:rsidRDefault="008516D9" w:rsidP="00575ECB">
          <w:pPr>
            <w:jc w:val="both"/>
            <w:rPr>
              <w:color w:val="999999"/>
              <w:sz w:val="20"/>
              <w:szCs w:val="20"/>
            </w:rPr>
          </w:pPr>
          <w:r w:rsidRPr="00575ECB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516D9" w:rsidRPr="00A3605C" w:rsidRDefault="008516D9" w:rsidP="00EF2B4B">
    <w:pPr>
      <w:rPr>
        <w:color w:val="999999"/>
      </w:rPr>
    </w:pPr>
  </w:p>
  <w:p w:rsidR="008516D9" w:rsidRDefault="00BD61BF" w:rsidP="00A3605C">
    <w:pPr>
      <w:pStyle w:val="Zpat"/>
      <w:jc w:val="center"/>
    </w:pPr>
    <w:r>
      <w:rPr>
        <w:rStyle w:val="slostrnky"/>
      </w:rPr>
      <w:fldChar w:fldCharType="begin"/>
    </w:r>
    <w:r w:rsidR="008516D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72991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6D9" w:rsidRDefault="00BD61BF" w:rsidP="00A3605C">
    <w:pPr>
      <w:pStyle w:val="Zpat"/>
      <w:jc w:val="center"/>
    </w:pPr>
    <w:r>
      <w:rPr>
        <w:rStyle w:val="slostrnky"/>
      </w:rPr>
      <w:fldChar w:fldCharType="begin"/>
    </w:r>
    <w:r w:rsidR="008516D9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72991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692" w:rsidRDefault="00DC1692">
      <w:r>
        <w:separator/>
      </w:r>
    </w:p>
  </w:footnote>
  <w:footnote w:type="continuationSeparator" w:id="1">
    <w:p w:rsidR="00DC1692" w:rsidRDefault="00DC16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CC4CC8"/>
    <w:rsid w:val="000F0D23"/>
    <w:rsid w:val="00165634"/>
    <w:rsid w:val="00263DCF"/>
    <w:rsid w:val="00284870"/>
    <w:rsid w:val="002E1983"/>
    <w:rsid w:val="00332D78"/>
    <w:rsid w:val="00342A39"/>
    <w:rsid w:val="0036623D"/>
    <w:rsid w:val="00372991"/>
    <w:rsid w:val="00456AF7"/>
    <w:rsid w:val="004622EC"/>
    <w:rsid w:val="00473050"/>
    <w:rsid w:val="004D03E5"/>
    <w:rsid w:val="00557F5D"/>
    <w:rsid w:val="00575ECB"/>
    <w:rsid w:val="00582678"/>
    <w:rsid w:val="00605F25"/>
    <w:rsid w:val="006A0CE6"/>
    <w:rsid w:val="007714EB"/>
    <w:rsid w:val="007A7069"/>
    <w:rsid w:val="008039F6"/>
    <w:rsid w:val="008516D9"/>
    <w:rsid w:val="00881A50"/>
    <w:rsid w:val="00883756"/>
    <w:rsid w:val="00887A99"/>
    <w:rsid w:val="00994064"/>
    <w:rsid w:val="00997B94"/>
    <w:rsid w:val="00A13A92"/>
    <w:rsid w:val="00A26D0B"/>
    <w:rsid w:val="00A26EB7"/>
    <w:rsid w:val="00A3605C"/>
    <w:rsid w:val="00A416B9"/>
    <w:rsid w:val="00A8374E"/>
    <w:rsid w:val="00AB224B"/>
    <w:rsid w:val="00B577D8"/>
    <w:rsid w:val="00BA1C2C"/>
    <w:rsid w:val="00BD61BF"/>
    <w:rsid w:val="00BE5582"/>
    <w:rsid w:val="00C02D93"/>
    <w:rsid w:val="00CC4CC8"/>
    <w:rsid w:val="00D036C2"/>
    <w:rsid w:val="00D151B5"/>
    <w:rsid w:val="00DC1692"/>
    <w:rsid w:val="00DE5B95"/>
    <w:rsid w:val="00E50322"/>
    <w:rsid w:val="00ED3CB9"/>
    <w:rsid w:val="00EF2B4B"/>
    <w:rsid w:val="00F97BB3"/>
    <w:rsid w:val="00FA155F"/>
    <w:rsid w:val="00FC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997B94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997B94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97B94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997B94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CADB-CBAD-4981-AD4D-A2B9F600C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370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Tereza</cp:lastModifiedBy>
  <cp:revision>5</cp:revision>
  <cp:lastPrinted>2008-09-11T20:24:00Z</cp:lastPrinted>
  <dcterms:created xsi:type="dcterms:W3CDTF">2014-05-01T06:52:00Z</dcterms:created>
  <dcterms:modified xsi:type="dcterms:W3CDTF">2014-05-07T14:52:00Z</dcterms:modified>
</cp:coreProperties>
</file>