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CF3F3E">
        <w:t xml:space="preserve"> </w:t>
      </w:r>
      <w:r w:rsidR="00A17728">
        <w:t>Tereza Tlačilová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CF3F3E">
        <w:t xml:space="preserve"> </w:t>
      </w:r>
      <w:r w:rsidR="00A17728">
        <w:t>Lázeňství jako faktor regionálního rozvoje Třeboňska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A17728">
        <w:t>Regionální studia</w:t>
      </w:r>
    </w:p>
    <w:p w:rsidR="00B172BD" w:rsidRDefault="00B172BD" w:rsidP="00B172BD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 xml:space="preserve">: Ing. Jiří </w:t>
      </w:r>
      <w:proofErr w:type="spellStart"/>
      <w:r>
        <w:t>Alina</w:t>
      </w:r>
      <w:proofErr w:type="spellEnd"/>
      <w:r>
        <w:t>, Ph.D.</w:t>
      </w:r>
    </w:p>
    <w:p w:rsidR="00B172BD" w:rsidRDefault="00B172BD" w:rsidP="00B172BD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Pr="00463BE2">
        <w:t xml:space="preserve"> </w:t>
      </w:r>
      <w:r w:rsidRPr="0071764E">
        <w:t>Jihočeská univerzita v Českých Budějovicích, Ekonomická fakulta</w:t>
      </w:r>
      <w:r>
        <w:t>, odborný asistent</w:t>
      </w:r>
    </w:p>
    <w:p w:rsidR="00883756" w:rsidRDefault="00883756">
      <w:pPr>
        <w:pStyle w:val="Normlnweb"/>
        <w:spacing w:before="119" w:beforeAutospacing="0" w:after="62"/>
      </w:pPr>
      <w:bookmarkStart w:id="0" w:name="_GoBack"/>
      <w:bookmarkEnd w:id="0"/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A177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A17728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 w:rsidP="00016E41">
      <w:pPr>
        <w:pStyle w:val="Normlnweb"/>
        <w:spacing w:after="0"/>
        <w:jc w:val="both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63607B" w:rsidRPr="00262C82" w:rsidRDefault="00A17728" w:rsidP="00016E41">
      <w:pPr>
        <w:pStyle w:val="Normlnweb"/>
        <w:spacing w:after="0"/>
        <w:jc w:val="both"/>
      </w:pPr>
      <w:r w:rsidRPr="00262C82">
        <w:t xml:space="preserve">Autorka si ve své bakalářské práci zvolila aktuální téma z oblasti </w:t>
      </w:r>
      <w:r w:rsidR="00391721" w:rsidRPr="00262C82">
        <w:t>regionálního rozvoje, konkrétně se zabý</w:t>
      </w:r>
      <w:r w:rsidR="007A51BA" w:rsidRPr="00262C82">
        <w:t>vá</w:t>
      </w:r>
      <w:r w:rsidR="00391721" w:rsidRPr="00262C82">
        <w:t xml:space="preserve"> problematikou lázeňství v</w:t>
      </w:r>
      <w:r w:rsidR="0063607B" w:rsidRPr="00262C82">
        <w:t> </w:t>
      </w:r>
      <w:r w:rsidR="00391721" w:rsidRPr="00262C82">
        <w:t>ČR</w:t>
      </w:r>
      <w:r w:rsidR="0063607B" w:rsidRPr="00262C82">
        <w:t xml:space="preserve"> se zaměřením</w:t>
      </w:r>
      <w:r w:rsidR="00391721" w:rsidRPr="00262C82">
        <w:t xml:space="preserve"> na oblast Třeboňska </w:t>
      </w:r>
      <w:r w:rsidR="007A51BA" w:rsidRPr="00262C82">
        <w:t xml:space="preserve">a </w:t>
      </w:r>
      <w:r w:rsidR="00391721" w:rsidRPr="00262C82">
        <w:t xml:space="preserve">s cílem analýzy vlivu rozvoje lázeňství v této oblasti na rozvoj celého regionu. </w:t>
      </w:r>
      <w:r w:rsidR="0063607B" w:rsidRPr="00262C82">
        <w:t>Práce je z hlediska členění rozdělena na část teoretickou a praktickou</w:t>
      </w:r>
      <w:r w:rsidR="00291880" w:rsidRPr="00262C82">
        <w:t>. Celkem se skládá</w:t>
      </w:r>
      <w:r w:rsidR="00D17088" w:rsidRPr="00262C82">
        <w:t xml:space="preserve"> </w:t>
      </w:r>
      <w:r w:rsidR="0063607B" w:rsidRPr="00262C82">
        <w:t xml:space="preserve">ze </w:t>
      </w:r>
      <w:r w:rsidR="00D17088" w:rsidRPr="00262C82">
        <w:t>7</w:t>
      </w:r>
      <w:r w:rsidRPr="00262C82">
        <w:t xml:space="preserve"> </w:t>
      </w:r>
      <w:r w:rsidR="00D17088" w:rsidRPr="00262C82">
        <w:t>kapitol</w:t>
      </w:r>
      <w:r w:rsidRPr="00262C82">
        <w:t xml:space="preserve">, </w:t>
      </w:r>
      <w:r w:rsidR="00D17088" w:rsidRPr="00262C82">
        <w:t xml:space="preserve">kdy 4 z nich jsou věnovány </w:t>
      </w:r>
      <w:r w:rsidRPr="00262C82">
        <w:t xml:space="preserve">teoretické rovině zvoleného tématu, </w:t>
      </w:r>
      <w:r w:rsidR="00D17088" w:rsidRPr="00262C82">
        <w:t xml:space="preserve">zbylé 3 jsou pak </w:t>
      </w:r>
      <w:r w:rsidR="0063607B" w:rsidRPr="00262C82">
        <w:t xml:space="preserve">věnovány </w:t>
      </w:r>
      <w:r w:rsidR="007A51BA" w:rsidRPr="00262C82">
        <w:t>posouzení</w:t>
      </w:r>
      <w:r w:rsidR="0063607B" w:rsidRPr="00262C82">
        <w:t xml:space="preserve"> konkrétního vlivu rozvoje Bertiný</w:t>
      </w:r>
      <w:r w:rsidR="00291880" w:rsidRPr="00262C82">
        <w:t>ch lázní a L</w:t>
      </w:r>
      <w:r w:rsidR="0063607B" w:rsidRPr="00262C82">
        <w:t>ázní Aurora na</w:t>
      </w:r>
      <w:r w:rsidR="00291880" w:rsidRPr="00262C82">
        <w:t xml:space="preserve"> rozvoj</w:t>
      </w:r>
      <w:r w:rsidR="0063607B" w:rsidRPr="00262C82">
        <w:t xml:space="preserve"> </w:t>
      </w:r>
      <w:r w:rsidR="00291880" w:rsidRPr="00262C82">
        <w:t xml:space="preserve">třeboňského regionu, </w:t>
      </w:r>
      <w:r w:rsidR="007A51BA" w:rsidRPr="00262C82">
        <w:t xml:space="preserve">dále pak </w:t>
      </w:r>
      <w:r w:rsidR="00291880" w:rsidRPr="00262C82">
        <w:t xml:space="preserve">podpoře oblasti lázeňství ze strany územně samosprávních celků a státu i dopadu nedávných reformních kroků vlády ČR na lázeňské organizace. </w:t>
      </w:r>
      <w:r w:rsidR="007A51BA" w:rsidRPr="00262C82">
        <w:t>Cíle práce byly ze strany autorky naplněny, nutno však podotknout, že práce je spíše</w:t>
      </w:r>
      <w:r w:rsidR="00262C82">
        <w:t xml:space="preserve"> popisného charakteru.</w:t>
      </w:r>
      <w:r w:rsidR="007A51BA" w:rsidRPr="00262C82">
        <w:t xml:space="preserve"> </w:t>
      </w:r>
      <w:r w:rsidR="00194188">
        <w:t>Větší pozor</w:t>
      </w:r>
      <w:r w:rsidR="00262C82">
        <w:t xml:space="preserve">nost by proto </w:t>
      </w:r>
      <w:r w:rsidR="007A51BA" w:rsidRPr="00262C82">
        <w:t>bylo vhodné věnovat hlubší analýze dopadů jednotlivých vývojových změn v oblasti lázeňství</w:t>
      </w:r>
      <w:r w:rsidR="004F30DD">
        <w:t xml:space="preserve"> v ČR</w:t>
      </w:r>
      <w:r w:rsidR="007A51BA" w:rsidRPr="00262C82">
        <w:t xml:space="preserve"> na </w:t>
      </w:r>
      <w:r w:rsidR="004F30DD">
        <w:t>dotčený</w:t>
      </w:r>
      <w:r w:rsidR="007A51BA" w:rsidRPr="00262C82">
        <w:t xml:space="preserve"> region </w:t>
      </w:r>
      <w:r w:rsidR="00262C82" w:rsidRPr="00262C82">
        <w:t xml:space="preserve">včetně určení </w:t>
      </w:r>
      <w:r w:rsidR="004F30DD">
        <w:t xml:space="preserve">konkrétních </w:t>
      </w:r>
      <w:r w:rsidR="00262C82" w:rsidRPr="00262C82">
        <w:t>nástrojů směřujících k</w:t>
      </w:r>
      <w:r w:rsidR="004F30DD">
        <w:t>e</w:t>
      </w:r>
      <w:r w:rsidR="00262C82" w:rsidRPr="00262C82">
        <w:t> zlepšení stávající situace v</w:t>
      </w:r>
      <w:r w:rsidR="004F30DD">
        <w:t> </w:t>
      </w:r>
      <w:r w:rsidR="00262C82" w:rsidRPr="00262C82">
        <w:t>oblasti</w:t>
      </w:r>
      <w:r w:rsidR="004F30DD">
        <w:t xml:space="preserve"> lázeňství v řešeném regionu. </w:t>
      </w:r>
      <w:r w:rsidR="0063607B" w:rsidRPr="00262C82">
        <w:t xml:space="preserve">Autorka pracovala ve své práci s dostatečným množstvím zdrojů, zvolila velmi zajímavé téma a práci v závěru obohatila </w:t>
      </w:r>
      <w:r w:rsidR="00262C82" w:rsidRPr="00262C82">
        <w:t>o svá doporučení</w:t>
      </w:r>
      <w:r w:rsidR="0063607B" w:rsidRPr="00262C82">
        <w:t>. Jedná se o práci zdařilou, kterou doporučuji k obhajobě a hodnotím stupněm B.</w:t>
      </w:r>
    </w:p>
    <w:p w:rsidR="00883756" w:rsidRDefault="00883756" w:rsidP="00016E41">
      <w:pPr>
        <w:pStyle w:val="Normlnweb"/>
        <w:spacing w:after="0"/>
        <w:jc w:val="both"/>
      </w:pPr>
      <w:r w:rsidRPr="00262C82">
        <w:rPr>
          <w:b/>
          <w:bCs/>
        </w:rPr>
        <w:t>Otázky k obhajobě</w:t>
      </w:r>
      <w:r w:rsidRPr="00262C82">
        <w:t>:</w:t>
      </w:r>
    </w:p>
    <w:p w:rsidR="00016E41" w:rsidRDefault="00194188" w:rsidP="0075264D">
      <w:pPr>
        <w:pStyle w:val="Normlnweb"/>
        <w:numPr>
          <w:ilvl w:val="0"/>
          <w:numId w:val="1"/>
        </w:numPr>
        <w:spacing w:after="0"/>
        <w:jc w:val="both"/>
      </w:pPr>
      <w:r>
        <w:t>Navrhněte, jaké legislativní úpravy by mohly vést k optimalizaci stavu lázeňství v ČR?</w:t>
      </w:r>
    </w:p>
    <w:p w:rsidR="00194188" w:rsidRDefault="00194188" w:rsidP="0075264D">
      <w:pPr>
        <w:pStyle w:val="Normlnweb"/>
        <w:numPr>
          <w:ilvl w:val="0"/>
          <w:numId w:val="1"/>
        </w:numPr>
        <w:spacing w:after="0"/>
        <w:jc w:val="both"/>
      </w:pPr>
      <w:r>
        <w:t>Které marketingové nástroje považujete za nejúčinnější pro zvýšení počtu samoplátců v lázeňských organizacích?</w:t>
      </w:r>
    </w:p>
    <w:p w:rsidR="00194188" w:rsidRPr="0075264D" w:rsidRDefault="00194188" w:rsidP="0075264D">
      <w:pPr>
        <w:pStyle w:val="Normlnweb"/>
        <w:numPr>
          <w:ilvl w:val="0"/>
          <w:numId w:val="1"/>
        </w:numPr>
        <w:spacing w:after="0"/>
        <w:jc w:val="both"/>
      </w:pPr>
      <w:r>
        <w:t>Zhodno</w:t>
      </w:r>
      <w:r w:rsidR="003E10A2">
        <w:t xml:space="preserve">ťte možnosti financování </w:t>
      </w:r>
      <w:r>
        <w:t xml:space="preserve">rozvoje lázeňských organizací prostřednictvím dotačních titulů </w:t>
      </w:r>
      <w:r w:rsidR="003E10A2">
        <w:t xml:space="preserve">dostupných </w:t>
      </w:r>
      <w:r>
        <w:t>v ČR.</w:t>
      </w:r>
    </w:p>
    <w:p w:rsidR="0075264D" w:rsidRDefault="0075264D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262C82">
        <w:t>6. 5. 2014</w:t>
      </w:r>
    </w:p>
    <w:p w:rsidR="00883756" w:rsidRDefault="00883756" w:rsidP="004F326B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A3605C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32" w:rsidRDefault="00927632" w:rsidP="00F7522C">
      <w:pPr>
        <w:pStyle w:val="Normlnweb"/>
      </w:pPr>
      <w:r>
        <w:separator/>
      </w:r>
    </w:p>
  </w:endnote>
  <w:endnote w:type="continuationSeparator" w:id="0">
    <w:p w:rsidR="00927632" w:rsidRDefault="00927632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C34305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72B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D0" w:rsidRDefault="00C34305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72B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32" w:rsidRDefault="00927632" w:rsidP="00F7522C">
      <w:pPr>
        <w:pStyle w:val="Normlnweb"/>
      </w:pPr>
      <w:r>
        <w:separator/>
      </w:r>
    </w:p>
  </w:footnote>
  <w:footnote w:type="continuationSeparator" w:id="0">
    <w:p w:rsidR="00927632" w:rsidRDefault="00927632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683B"/>
    <w:multiLevelType w:val="hybridMultilevel"/>
    <w:tmpl w:val="ABAC9474"/>
    <w:lvl w:ilvl="0" w:tplc="C26E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CC8"/>
    <w:rsid w:val="00016E41"/>
    <w:rsid w:val="00047B96"/>
    <w:rsid w:val="000755A4"/>
    <w:rsid w:val="000A115F"/>
    <w:rsid w:val="000D238B"/>
    <w:rsid w:val="00111754"/>
    <w:rsid w:val="001314C6"/>
    <w:rsid w:val="00194188"/>
    <w:rsid w:val="00234DEA"/>
    <w:rsid w:val="0024566E"/>
    <w:rsid w:val="00262C82"/>
    <w:rsid w:val="00265124"/>
    <w:rsid w:val="00284870"/>
    <w:rsid w:val="00291880"/>
    <w:rsid w:val="002C1E71"/>
    <w:rsid w:val="002C6F1F"/>
    <w:rsid w:val="002E1983"/>
    <w:rsid w:val="00323CEC"/>
    <w:rsid w:val="00391721"/>
    <w:rsid w:val="003E10A2"/>
    <w:rsid w:val="00422FC7"/>
    <w:rsid w:val="00460376"/>
    <w:rsid w:val="0046540C"/>
    <w:rsid w:val="004F30DD"/>
    <w:rsid w:val="004F326B"/>
    <w:rsid w:val="00502F6A"/>
    <w:rsid w:val="00565DDB"/>
    <w:rsid w:val="005B45C5"/>
    <w:rsid w:val="005D4D06"/>
    <w:rsid w:val="005D6348"/>
    <w:rsid w:val="0063607B"/>
    <w:rsid w:val="00671DE3"/>
    <w:rsid w:val="006A08FD"/>
    <w:rsid w:val="006A0CE6"/>
    <w:rsid w:val="006C6408"/>
    <w:rsid w:val="0070126A"/>
    <w:rsid w:val="0075264D"/>
    <w:rsid w:val="00787018"/>
    <w:rsid w:val="007A51BA"/>
    <w:rsid w:val="007B2DC7"/>
    <w:rsid w:val="007D1B37"/>
    <w:rsid w:val="00842816"/>
    <w:rsid w:val="00883756"/>
    <w:rsid w:val="008E68D0"/>
    <w:rsid w:val="00927632"/>
    <w:rsid w:val="00937737"/>
    <w:rsid w:val="009D2FAF"/>
    <w:rsid w:val="00A17728"/>
    <w:rsid w:val="00A3605C"/>
    <w:rsid w:val="00A63636"/>
    <w:rsid w:val="00AE4344"/>
    <w:rsid w:val="00B172BD"/>
    <w:rsid w:val="00B30993"/>
    <w:rsid w:val="00B5157A"/>
    <w:rsid w:val="00B83714"/>
    <w:rsid w:val="00BE5582"/>
    <w:rsid w:val="00C34305"/>
    <w:rsid w:val="00C76CE0"/>
    <w:rsid w:val="00CB527C"/>
    <w:rsid w:val="00CC4CC8"/>
    <w:rsid w:val="00CF3F3E"/>
    <w:rsid w:val="00D17088"/>
    <w:rsid w:val="00D34668"/>
    <w:rsid w:val="00D7389C"/>
    <w:rsid w:val="00E37C29"/>
    <w:rsid w:val="00E6627C"/>
    <w:rsid w:val="00E94058"/>
    <w:rsid w:val="00ED1AF6"/>
    <w:rsid w:val="00ED3CB9"/>
    <w:rsid w:val="00EF2B4B"/>
    <w:rsid w:val="00F7522C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cp:lastModifiedBy>Ing. Jiří Dušek, Ph.D.</cp:lastModifiedBy>
  <cp:revision>6</cp:revision>
  <cp:lastPrinted>2008-09-11T20:21:00Z</cp:lastPrinted>
  <dcterms:created xsi:type="dcterms:W3CDTF">2014-05-06T11:09:00Z</dcterms:created>
  <dcterms:modified xsi:type="dcterms:W3CDTF">2014-05-11T15:41:00Z</dcterms:modified>
</cp:coreProperties>
</file>