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CF3F3E">
        <w:t xml:space="preserve"> </w:t>
      </w:r>
      <w:r w:rsidR="00FA0447">
        <w:t xml:space="preserve">Lenka </w:t>
      </w:r>
      <w:proofErr w:type="spellStart"/>
      <w:r w:rsidR="00FA0447">
        <w:t>Tondlová</w:t>
      </w:r>
      <w:proofErr w:type="spellEnd"/>
    </w:p>
    <w:p w:rsidR="00FA0447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CF3F3E">
        <w:t xml:space="preserve"> </w:t>
      </w:r>
      <w:r w:rsidR="00FA0447">
        <w:t xml:space="preserve">Politika ochrany rozvoje kulturního dědictví v České republice na </w:t>
      </w:r>
    </w:p>
    <w:p w:rsidR="00883756" w:rsidRDefault="00FA0447">
      <w:pPr>
        <w:pStyle w:val="Normlnweb"/>
        <w:spacing w:after="0"/>
      </w:pPr>
      <w:r>
        <w:t xml:space="preserve">                                           příkladu národní kulturní památky kláštera Zlatá Koruna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FA0447">
        <w:t>Regionální studia</w:t>
      </w:r>
    </w:p>
    <w:p w:rsidR="00B17EB2" w:rsidRDefault="00B17EB2" w:rsidP="00B17EB2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 xml:space="preserve">: Ing. Jiří </w:t>
      </w:r>
      <w:proofErr w:type="spellStart"/>
      <w:r>
        <w:t>Alina</w:t>
      </w:r>
      <w:proofErr w:type="spellEnd"/>
      <w:r>
        <w:t>, Ph.D.</w:t>
      </w:r>
    </w:p>
    <w:p w:rsidR="00B17EB2" w:rsidRDefault="00B17EB2" w:rsidP="00B17EB2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Pr="00463BE2">
        <w:t xml:space="preserve"> </w:t>
      </w:r>
      <w:r w:rsidRPr="0071764E">
        <w:t>Jihočeská univerzita v Českých Budějovicích, Ekonomická fakulta</w:t>
      </w:r>
      <w:r>
        <w:t>, odborný asistent</w:t>
      </w:r>
    </w:p>
    <w:p w:rsidR="00883756" w:rsidRDefault="00883756">
      <w:pPr>
        <w:pStyle w:val="Normlnweb"/>
        <w:spacing w:before="119" w:beforeAutospacing="0" w:after="62"/>
      </w:pPr>
      <w:bookmarkStart w:id="0" w:name="_GoBack"/>
      <w:bookmarkEnd w:id="0"/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99436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FA0447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FA0447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75264D" w:rsidRDefault="00EF2B4B" w:rsidP="00016E41">
      <w:pPr>
        <w:pStyle w:val="Normlnweb"/>
        <w:spacing w:after="0"/>
        <w:jc w:val="both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FA0447" w:rsidRPr="00FA0447" w:rsidRDefault="00FA0447" w:rsidP="00AB61A8">
      <w:pPr>
        <w:pStyle w:val="Normlnweb"/>
        <w:jc w:val="both"/>
      </w:pPr>
      <w:r w:rsidRPr="00AB61A8">
        <w:t xml:space="preserve">Autorka si pro svou bakalářskou práci zvolila </w:t>
      </w:r>
      <w:r w:rsidR="00F867C0" w:rsidRPr="00AB61A8">
        <w:t>nepochybně</w:t>
      </w:r>
      <w:r w:rsidRPr="00AB61A8">
        <w:t xml:space="preserve"> aktuální</w:t>
      </w:r>
      <w:r w:rsidRPr="00FA0447">
        <w:t xml:space="preserve"> téma </w:t>
      </w:r>
      <w:r w:rsidRPr="00AB61A8">
        <w:t xml:space="preserve">ochrany, rozvoje a zachování kulturního dědictví ČR, konkrétně </w:t>
      </w:r>
      <w:r w:rsidR="00F867C0" w:rsidRPr="00AB61A8">
        <w:t>se pak zaměřila na národní kulturní památku klášter Zlatá Koruna.</w:t>
      </w:r>
      <w:r w:rsidRPr="00FA0447">
        <w:t xml:space="preserve"> Vzhledem k tomu, že </w:t>
      </w:r>
      <w:r w:rsidR="00F867C0" w:rsidRPr="00AB61A8">
        <w:t>problematika kulturního dědictví a památkové péče</w:t>
      </w:r>
      <w:r w:rsidRPr="00FA0447">
        <w:t xml:space="preserve"> je </w:t>
      </w:r>
      <w:r w:rsidR="00F867C0" w:rsidRPr="00AB61A8">
        <w:t>dlouhodobě</w:t>
      </w:r>
      <w:r w:rsidRPr="00FA0447">
        <w:t xml:space="preserve"> tématem sledovaným a diskutovaným, považuji </w:t>
      </w:r>
      <w:r w:rsidR="00F867C0" w:rsidRPr="00AB61A8">
        <w:t>výběr tématu práce za velmi přínosný. Práce je členěna na 7</w:t>
      </w:r>
      <w:r w:rsidRPr="00FA0447">
        <w:t xml:space="preserve"> částí, </w:t>
      </w:r>
      <w:r w:rsidR="00F867C0" w:rsidRPr="00AB61A8">
        <w:t xml:space="preserve">prvních 5 kapitol tvoří teoretickou část práce, kdy autorka prostřednictvím metody komparativní a popisné podává základní obraz </w:t>
      </w:r>
      <w:r w:rsidR="00766A4D" w:rsidRPr="00AB61A8">
        <w:t>vývoje problematiky kulturního dědictví v ČR a nastiňuje historii kláštera Zlatá Koruna z pohledu historických i politických souvislostí. V praktické části práce pak autorka analyzuje legislativní rámce ve vztahu ke kul</w:t>
      </w:r>
      <w:r w:rsidR="00AB61A8">
        <w:t>turnímu dědictví</w:t>
      </w:r>
      <w:r w:rsidRPr="00FA0447">
        <w:t xml:space="preserve"> </w:t>
      </w:r>
      <w:r w:rsidR="00766A4D" w:rsidRPr="00AB61A8">
        <w:t xml:space="preserve">ČR a podává komplexní obraz současného kláštera Zlatá Koruna, </w:t>
      </w:r>
      <w:r w:rsidR="00AB61A8">
        <w:t>kupříkladu</w:t>
      </w:r>
      <w:r w:rsidR="00766A4D" w:rsidRPr="00AB61A8">
        <w:t xml:space="preserve"> z pohledu potenciálu jeho využití. Stanovené cíle</w:t>
      </w:r>
      <w:r w:rsidRPr="00FA0447">
        <w:t xml:space="preserve"> </w:t>
      </w:r>
      <w:r w:rsidR="00766A4D" w:rsidRPr="00AB61A8">
        <w:t xml:space="preserve">autorka </w:t>
      </w:r>
      <w:r w:rsidR="00AB61A8">
        <w:t xml:space="preserve">ve své bakalářské práci </w:t>
      </w:r>
      <w:r w:rsidR="00766A4D" w:rsidRPr="00AB61A8">
        <w:t xml:space="preserve">naplnila, struktura práce byla zvolena velmi vhodně, rovněž po formální stránce nebyly definovány žádné nedostatky. </w:t>
      </w:r>
      <w:r w:rsidR="00AB61A8" w:rsidRPr="00AB61A8">
        <w:t xml:space="preserve">Přínosem práce je rovněž velké množství zdrojů, ze kterých autorka při jejím zpracování vycházela. </w:t>
      </w:r>
      <w:r w:rsidR="00766A4D" w:rsidRPr="00AB61A8">
        <w:t>Celkově se jedná o zdařilou práci, je zřejmé, že se jejímu zpracování autor</w:t>
      </w:r>
      <w:r w:rsidR="00994365">
        <w:t>ka</w:t>
      </w:r>
      <w:r w:rsidR="00766A4D" w:rsidRPr="00AB61A8">
        <w:t xml:space="preserve"> </w:t>
      </w:r>
      <w:r w:rsidR="00994365">
        <w:t xml:space="preserve">věnovala </w:t>
      </w:r>
      <w:r w:rsidR="00766A4D" w:rsidRPr="00AB61A8">
        <w:t xml:space="preserve">velmi pečlivě. Práci </w:t>
      </w:r>
      <w:r w:rsidR="00994365">
        <w:t xml:space="preserve">proto </w:t>
      </w:r>
      <w:r w:rsidR="00766A4D" w:rsidRPr="00AB61A8">
        <w:t>doporučuji k obhajobě a hodnotím stupněm A.</w:t>
      </w:r>
      <w:r w:rsidR="00766A4D" w:rsidRPr="00766A4D">
        <w:t xml:space="preserve"> </w:t>
      </w:r>
    </w:p>
    <w:p w:rsidR="00883756" w:rsidRDefault="00883756" w:rsidP="00016E41">
      <w:pPr>
        <w:pStyle w:val="Normlnweb"/>
        <w:spacing w:after="0"/>
        <w:jc w:val="both"/>
      </w:pPr>
      <w:r>
        <w:rPr>
          <w:b/>
          <w:bCs/>
        </w:rPr>
        <w:t>Otázky k obhajobě</w:t>
      </w:r>
      <w:r>
        <w:t>:</w:t>
      </w:r>
    </w:p>
    <w:p w:rsidR="00016E41" w:rsidRDefault="00AB61A8" w:rsidP="0075264D">
      <w:pPr>
        <w:pStyle w:val="Normlnweb"/>
        <w:numPr>
          <w:ilvl w:val="0"/>
          <w:numId w:val="1"/>
        </w:numPr>
        <w:spacing w:after="0"/>
        <w:jc w:val="both"/>
      </w:pPr>
      <w:r>
        <w:t>Jaké stěžejní současné problémy oblasti ochrany, rozvoje a zachování kulturního dědictví mohou být hlavním podnětem pro novou legislativní úpravu památkové péče v ČR?</w:t>
      </w:r>
    </w:p>
    <w:p w:rsidR="00AB61A8" w:rsidRDefault="00AB61A8" w:rsidP="0075264D">
      <w:pPr>
        <w:pStyle w:val="Normlnweb"/>
        <w:numPr>
          <w:ilvl w:val="0"/>
          <w:numId w:val="1"/>
        </w:numPr>
        <w:spacing w:after="0"/>
        <w:jc w:val="both"/>
      </w:pPr>
      <w:r>
        <w:t>Jakým způsobem je oblast ochrany, rozvoje a zachování kulturního dědictví v ČR ovlivňována ze strany EU (např. z pohledu legislativy</w:t>
      </w:r>
      <w:r w:rsidR="00994365">
        <w:t xml:space="preserve"> EU</w:t>
      </w:r>
      <w:r>
        <w:t>, nařízení</w:t>
      </w:r>
      <w:r w:rsidR="00994365">
        <w:t xml:space="preserve"> EU</w:t>
      </w:r>
      <w:r>
        <w:t>, možností podpory</w:t>
      </w:r>
      <w:r w:rsidR="00994365">
        <w:t xml:space="preserve"> z EU</w:t>
      </w:r>
      <w:r>
        <w:t>)?</w:t>
      </w:r>
    </w:p>
    <w:p w:rsidR="0075264D" w:rsidRPr="00994365" w:rsidRDefault="00AB61A8" w:rsidP="00994365">
      <w:pPr>
        <w:pStyle w:val="Normlnweb"/>
        <w:numPr>
          <w:ilvl w:val="0"/>
          <w:numId w:val="1"/>
        </w:numPr>
        <w:spacing w:after="0"/>
        <w:jc w:val="both"/>
      </w:pPr>
      <w:r>
        <w:t xml:space="preserve">Které produkty cestovního ruchu a formy propagace považujete za nejvhodnější </w:t>
      </w:r>
      <w:r w:rsidR="00C133AB">
        <w:t>nástroje vedoucí ke zvýšení atraktivity kulturních památek ČR, zvýšení jejich návštěvnosti a rozšíření možností jejích využití?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883756" w:rsidRDefault="00883756"/>
    <w:sectPr w:rsidR="00883756" w:rsidSect="00A3605C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B7" w:rsidRDefault="003A47B7" w:rsidP="00F7522C">
      <w:pPr>
        <w:pStyle w:val="Normlnweb"/>
      </w:pPr>
      <w:r>
        <w:separator/>
      </w:r>
    </w:p>
  </w:endnote>
  <w:endnote w:type="continuationSeparator" w:id="0">
    <w:p w:rsidR="003A47B7" w:rsidRDefault="003A47B7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</w:t>
          </w:r>
          <w:proofErr w:type="spellStart"/>
          <w:r w:rsidRPr="00111754">
            <w:rPr>
              <w:color w:val="999999"/>
              <w:sz w:val="20"/>
              <w:szCs w:val="20"/>
            </w:rPr>
            <w:t>excellent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</w:t>
          </w:r>
          <w:proofErr w:type="spellStart"/>
          <w:r w:rsidRPr="00111754">
            <w:rPr>
              <w:color w:val="999999"/>
              <w:sz w:val="20"/>
              <w:szCs w:val="20"/>
            </w:rPr>
            <w:t>satisfactory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</w:t>
          </w:r>
          <w:proofErr w:type="spellStart"/>
          <w:r w:rsidRPr="00111754">
            <w:rPr>
              <w:color w:val="999999"/>
              <w:sz w:val="20"/>
              <w:szCs w:val="20"/>
            </w:rPr>
            <w:t>sufficient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111754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111754">
            <w:rPr>
              <w:bCs/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AE4344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17EB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D0" w:rsidRDefault="00AE4344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17EB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B7" w:rsidRDefault="003A47B7" w:rsidP="00F7522C">
      <w:pPr>
        <w:pStyle w:val="Normlnweb"/>
      </w:pPr>
      <w:r>
        <w:separator/>
      </w:r>
    </w:p>
  </w:footnote>
  <w:footnote w:type="continuationSeparator" w:id="0">
    <w:p w:rsidR="003A47B7" w:rsidRDefault="003A47B7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683B"/>
    <w:multiLevelType w:val="hybridMultilevel"/>
    <w:tmpl w:val="ABAC9474"/>
    <w:lvl w:ilvl="0" w:tplc="C26E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CC8"/>
    <w:rsid w:val="00016E41"/>
    <w:rsid w:val="00025D8D"/>
    <w:rsid w:val="00047B96"/>
    <w:rsid w:val="000755A4"/>
    <w:rsid w:val="000A115F"/>
    <w:rsid w:val="000A6F68"/>
    <w:rsid w:val="000D238B"/>
    <w:rsid w:val="00111754"/>
    <w:rsid w:val="001314C6"/>
    <w:rsid w:val="00234DEA"/>
    <w:rsid w:val="0024566E"/>
    <w:rsid w:val="00265124"/>
    <w:rsid w:val="00284870"/>
    <w:rsid w:val="002C1E71"/>
    <w:rsid w:val="002C6F1F"/>
    <w:rsid w:val="002E1983"/>
    <w:rsid w:val="00323CEC"/>
    <w:rsid w:val="003A47B7"/>
    <w:rsid w:val="00422FC7"/>
    <w:rsid w:val="00460376"/>
    <w:rsid w:val="0046540C"/>
    <w:rsid w:val="00502F6A"/>
    <w:rsid w:val="00565DDB"/>
    <w:rsid w:val="005B45C5"/>
    <w:rsid w:val="005D4D06"/>
    <w:rsid w:val="005D6348"/>
    <w:rsid w:val="00671DE3"/>
    <w:rsid w:val="006A08FD"/>
    <w:rsid w:val="006A0CE6"/>
    <w:rsid w:val="006C6408"/>
    <w:rsid w:val="0070126A"/>
    <w:rsid w:val="0075264D"/>
    <w:rsid w:val="00766A4D"/>
    <w:rsid w:val="00787018"/>
    <w:rsid w:val="007B2DC7"/>
    <w:rsid w:val="00842816"/>
    <w:rsid w:val="00883756"/>
    <w:rsid w:val="008E68D0"/>
    <w:rsid w:val="00937737"/>
    <w:rsid w:val="00994365"/>
    <w:rsid w:val="009D2FAF"/>
    <w:rsid w:val="00A3605C"/>
    <w:rsid w:val="00A63636"/>
    <w:rsid w:val="00AB61A8"/>
    <w:rsid w:val="00AE4344"/>
    <w:rsid w:val="00B04DDE"/>
    <w:rsid w:val="00B17EB2"/>
    <w:rsid w:val="00B5157A"/>
    <w:rsid w:val="00B83714"/>
    <w:rsid w:val="00BE5582"/>
    <w:rsid w:val="00C133AB"/>
    <w:rsid w:val="00C76CE0"/>
    <w:rsid w:val="00CB527C"/>
    <w:rsid w:val="00CC4CC8"/>
    <w:rsid w:val="00CF3F3E"/>
    <w:rsid w:val="00D34668"/>
    <w:rsid w:val="00D7389C"/>
    <w:rsid w:val="00E6627C"/>
    <w:rsid w:val="00E75620"/>
    <w:rsid w:val="00E94058"/>
    <w:rsid w:val="00ED1AF6"/>
    <w:rsid w:val="00ED3CB9"/>
    <w:rsid w:val="00EF2B4B"/>
    <w:rsid w:val="00F7522C"/>
    <w:rsid w:val="00F867C0"/>
    <w:rsid w:val="00FA0447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cp:lastModifiedBy>Ing. Jiří Dušek, Ph.D.</cp:lastModifiedBy>
  <cp:revision>12</cp:revision>
  <cp:lastPrinted>2008-09-11T20:21:00Z</cp:lastPrinted>
  <dcterms:created xsi:type="dcterms:W3CDTF">2013-08-23T11:24:00Z</dcterms:created>
  <dcterms:modified xsi:type="dcterms:W3CDTF">2014-05-11T15:50:00Z</dcterms:modified>
</cp:coreProperties>
</file>