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1A" w:rsidRDefault="0049161A" w:rsidP="0049161A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VYSOKÁ ŠKOLA EVROPSKÝCH A REGIONÁLNÍCH STUDIÍ, o.p.s.</w:t>
      </w:r>
    </w:p>
    <w:p w:rsidR="0049161A" w:rsidRDefault="0049161A" w:rsidP="0049161A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Žižkova 6, 370 01 České Budějovice</w:t>
      </w:r>
    </w:p>
    <w:p w:rsidR="0049161A" w:rsidRDefault="00B360BA" w:rsidP="0049161A">
      <w:pPr>
        <w:pStyle w:val="WW-NormlnsWWW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Posudek oponenta</w:t>
      </w:r>
      <w:r w:rsidR="0049161A">
        <w:rPr>
          <w:b/>
          <w:bCs/>
          <w:sz w:val="28"/>
          <w:szCs w:val="28"/>
        </w:rPr>
        <w:t xml:space="preserve"> bakalářské práce</w:t>
      </w: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>Jméno a příjmení studenta</w:t>
      </w:r>
      <w:r>
        <w:t xml:space="preserve">: </w:t>
      </w:r>
      <w:r w:rsidR="00BC4E2F">
        <w:t xml:space="preserve">Vlastimil </w:t>
      </w:r>
      <w:proofErr w:type="spellStart"/>
      <w:r w:rsidR="00BC4E2F">
        <w:t>Pačák</w:t>
      </w:r>
      <w:proofErr w:type="spellEnd"/>
      <w:r w:rsidR="00BC4E2F">
        <w:t>, Dis.</w:t>
      </w:r>
    </w:p>
    <w:p w:rsidR="0049161A" w:rsidRDefault="0049161A" w:rsidP="0049161A">
      <w:pPr>
        <w:pStyle w:val="WW-NormlnsWWW"/>
        <w:jc w:val="both"/>
      </w:pPr>
      <w:r>
        <w:rPr>
          <w:b/>
          <w:bCs/>
        </w:rPr>
        <w:t>Název bakalářské práce</w:t>
      </w:r>
      <w:r>
        <w:t xml:space="preserve">: </w:t>
      </w:r>
      <w:r w:rsidR="00BC4E2F">
        <w:t>Pravicový extremismus v České republice</w:t>
      </w: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 xml:space="preserve">Studijní obor: </w:t>
      </w:r>
      <w:r w:rsidR="00BC4E2F">
        <w:rPr>
          <w:bCs/>
        </w:rPr>
        <w:t>Bezpečnostně právní činnost ve veřejné správě</w:t>
      </w: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>Titul, jméno a příjmení vedoucího práce</w:t>
      </w:r>
      <w:r>
        <w:t>: Mgr. Štěpán Strnad</w:t>
      </w:r>
      <w:r w:rsidR="00B360BA">
        <w:t>, PhD.</w:t>
      </w: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>Pracoviště a pracovní zařazení</w:t>
      </w:r>
      <w:r w:rsidR="00B360BA">
        <w:t>: Policejní akademie České republiky v Praze, odborný asistent.</w:t>
      </w:r>
    </w:p>
    <w:p w:rsidR="0049161A" w:rsidRDefault="0049161A" w:rsidP="0049161A">
      <w:pPr>
        <w:pStyle w:val="WW-NormlnsWWW"/>
        <w:spacing w:before="119" w:after="62"/>
      </w:pPr>
    </w:p>
    <w:p w:rsidR="0049161A" w:rsidRDefault="0049161A" w:rsidP="0049161A">
      <w:pPr>
        <w:pStyle w:val="WW-NormlnsWWW"/>
        <w:spacing w:before="119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Layout w:type="fixed"/>
        <w:tblLook w:val="000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523"/>
        <w:gridCol w:w="434"/>
      </w:tblGrid>
      <w:tr w:rsidR="0049161A" w:rsidTr="00A11F41">
        <w:trPr>
          <w:cantSplit/>
          <w:trHeight w:hRule="exact" w:val="395"/>
          <w:jc w:val="center"/>
        </w:trPr>
        <w:tc>
          <w:tcPr>
            <w:tcW w:w="4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b/>
              </w:rPr>
            </w:pPr>
          </w:p>
          <w:p w:rsidR="0049161A" w:rsidRDefault="0049161A" w:rsidP="00A11F41">
            <w:pPr>
              <w:pStyle w:val="WW-NormlnsWWW"/>
              <w:spacing w:before="119" w:after="62"/>
              <w:rPr>
                <w:b/>
              </w:rPr>
            </w:pPr>
            <w:r>
              <w:rPr>
                <w:b/>
              </w:rPr>
              <w:t>Kritérium hodnocení</w:t>
            </w:r>
          </w:p>
          <w:p w:rsidR="0049161A" w:rsidRDefault="0049161A" w:rsidP="00A11F41">
            <w:pPr>
              <w:pStyle w:val="WW-NormlnsWWW"/>
              <w:spacing w:before="119" w:after="62"/>
            </w:pPr>
            <w:r>
              <w:t>(označte křížkem)</w:t>
            </w:r>
          </w:p>
        </w:tc>
        <w:tc>
          <w:tcPr>
            <w:tcW w:w="440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49161A" w:rsidTr="00A11F41">
        <w:trPr>
          <w:cantSplit/>
          <w:trHeight w:hRule="exact" w:val="394"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</w:pPr>
            <w:r>
              <w:t>stupeň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A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B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C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D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E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FX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F</w:t>
            </w:r>
          </w:p>
        </w:tc>
      </w:tr>
      <w:tr w:rsidR="0049161A" w:rsidTr="00A11F41">
        <w:trPr>
          <w:cantSplit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číselné vyjádření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1,5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2,5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Pr="004B4BB7" w:rsidRDefault="0049161A" w:rsidP="00A11F41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jc w:val="center"/>
            </w:pPr>
            <w:r>
              <w:t>-</w:t>
            </w: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volba tématu ve vztahu ke studovanému oboru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aktuálnost a náročnost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8B4165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formulace cílů a úroveň jejich naplnění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C415ED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vhodnost členění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teoretická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metodická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reprezentativnost a rozsah použité literatury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úroveň práce s literaturou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 xml:space="preserve">dodržování bibliografických norem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C415ED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trHeight w:val="365"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 xml:space="preserve">úroveň jazykového zpracování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C415ED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vazba závěrů práce na její obsah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uplatnění práce v praxi / výuce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C415ED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r>
              <w:t>vazba souhrnu a klíčových slov na obsah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49161A" w:rsidTr="00A11F41">
        <w:trPr>
          <w:cantSplit/>
          <w:jc w:val="center"/>
        </w:trPr>
        <w:tc>
          <w:tcPr>
            <w:tcW w:w="5662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rPr>
                <w:b/>
              </w:rPr>
            </w:pPr>
            <w:r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C415ED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161A" w:rsidRDefault="0049161A" w:rsidP="00A11F41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</w:tbl>
    <w:p w:rsidR="0049161A" w:rsidRDefault="0049161A" w:rsidP="0049161A">
      <w:pPr>
        <w:rPr>
          <w:b/>
          <w:bCs/>
        </w:rPr>
        <w:sectPr w:rsidR="0049161A">
          <w:footerReference w:type="default" r:id="rId7"/>
          <w:footerReference w:type="first" r:id="rId8"/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p w:rsidR="0049161A" w:rsidRDefault="0049161A" w:rsidP="0049161A">
      <w:pPr>
        <w:pStyle w:val="WW-NormlnsWWW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49161A" w:rsidRDefault="0049161A" w:rsidP="0049161A">
      <w:pPr>
        <w:spacing w:before="280"/>
        <w:jc w:val="both"/>
        <w:rPr>
          <w:bCs/>
        </w:rPr>
      </w:pPr>
      <w:r>
        <w:rPr>
          <w:bCs/>
        </w:rPr>
        <w:t xml:space="preserve">Cílem předkládané práce je </w:t>
      </w:r>
      <w:r w:rsidR="00C415ED">
        <w:rPr>
          <w:bCs/>
        </w:rPr>
        <w:t xml:space="preserve">vymezení základních pojmů v oblasti extremismu, konkrétně pravicového extremismu s jeho ideologií, symbolikou aj. Práce volí jako modelový příklad český subjekt Dělnickou stranu sociální spravedlnosti. </w:t>
      </w:r>
      <w:r w:rsidR="00B06CC7" w:rsidRPr="00BA4905">
        <w:rPr>
          <w:bCs/>
        </w:rPr>
        <w:t xml:space="preserve">Práce je </w:t>
      </w:r>
      <w:r w:rsidR="00B06CC7">
        <w:rPr>
          <w:bCs/>
        </w:rPr>
        <w:t>čitelně</w:t>
      </w:r>
      <w:r w:rsidR="00B06CC7" w:rsidRPr="00BA4905">
        <w:rPr>
          <w:bCs/>
        </w:rPr>
        <w:t xml:space="preserve"> a jednoduše strukturována do teoreticky navazujících tematických bloků, ve kterých autor postupně a systematicky provádí čtenáře</w:t>
      </w:r>
      <w:r w:rsidR="00B06CC7">
        <w:rPr>
          <w:bCs/>
        </w:rPr>
        <w:t xml:space="preserve"> vymezenými oblastmi. Nicméně kapitola věnovaná symbolice jde na úkor chybějícímu (byť avizovanému) aspektu </w:t>
      </w:r>
      <w:proofErr w:type="spellStart"/>
      <w:r w:rsidR="00B06CC7">
        <w:rPr>
          <w:bCs/>
        </w:rPr>
        <w:t>protiextremistické</w:t>
      </w:r>
      <w:proofErr w:type="spellEnd"/>
      <w:r w:rsidR="00B06CC7">
        <w:rPr>
          <w:bCs/>
        </w:rPr>
        <w:t xml:space="preserve"> politiky státu. Příliš dlouhá a koncepčně pro význam celého textu ne nejpodstatnější část o oděvních značkách, hudebních skupinách atp. zbytečně ubírá prostor tomu podstatnějšímu pro analýzu, a to je historicky precedentní právní zásah státu proti krajně pravicovému subjektu. Text zcela opomíjí důvody soudního zákazu činnosti strany. Přidanou hodnotou je jistě autorem realizované dotazníkové šetření, byť </w:t>
      </w:r>
      <w:r w:rsidR="00A84EC1">
        <w:rPr>
          <w:bCs/>
        </w:rPr>
        <w:t xml:space="preserve">první dvě </w:t>
      </w:r>
      <w:r w:rsidR="00B06CC7">
        <w:rPr>
          <w:bCs/>
        </w:rPr>
        <w:t xml:space="preserve">ze tří stanovených hypotéz jsou velmi banální a </w:t>
      </w:r>
      <w:r w:rsidR="00A84EC1">
        <w:rPr>
          <w:bCs/>
        </w:rPr>
        <w:t xml:space="preserve">snadno předjímatelé bez šetření. </w:t>
      </w:r>
      <w:r w:rsidR="008C344E">
        <w:rPr>
          <w:bCs/>
        </w:rPr>
        <w:t>Přes uvedené nedostatky hodnotím práci výborně</w:t>
      </w:r>
      <w:r w:rsidR="00A84EC1">
        <w:rPr>
          <w:bCs/>
        </w:rPr>
        <w:t xml:space="preserve"> minus.</w:t>
      </w:r>
      <w:r w:rsidR="008C344E">
        <w:rPr>
          <w:bCs/>
        </w:rPr>
        <w:t xml:space="preserve"> </w:t>
      </w:r>
    </w:p>
    <w:p w:rsidR="0049161A" w:rsidRDefault="0049161A" w:rsidP="0049161A">
      <w:pPr>
        <w:pStyle w:val="WW-NormlnsWWW"/>
        <w:spacing w:after="0"/>
        <w:jc w:val="both"/>
        <w:rPr>
          <w:b/>
          <w:bCs/>
        </w:rPr>
      </w:pP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>Otázky k obhajobě</w:t>
      </w:r>
      <w:r>
        <w:t>:</w:t>
      </w:r>
    </w:p>
    <w:p w:rsidR="0049161A" w:rsidRDefault="00A84EC1" w:rsidP="00A84EC1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 w:rsidRPr="00A84EC1">
        <w:rPr>
          <w:bCs/>
        </w:rPr>
        <w:t xml:space="preserve">Jaké posuny nastávají v posledním roce dle zpráv MV či BIS na radikální scéně v souvislosti se vztahem krajní pravice a xenofobních populistů? </w:t>
      </w:r>
    </w:p>
    <w:p w:rsidR="00A84EC1" w:rsidRPr="00A84EC1" w:rsidRDefault="00A84EC1" w:rsidP="00A84EC1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Mohou být výsledky nedávných slovenských parlamentních voleb předobrazem pro výsledky příštích českých parlamentních voleb?</w:t>
      </w:r>
    </w:p>
    <w:p w:rsidR="0049161A" w:rsidRDefault="0049161A" w:rsidP="0049161A">
      <w:pPr>
        <w:pStyle w:val="WW-NormlnsWWW"/>
        <w:spacing w:after="0"/>
      </w:pPr>
      <w:r>
        <w:rPr>
          <w:b/>
          <w:bCs/>
        </w:rPr>
        <w:t>Datum</w:t>
      </w:r>
      <w:r w:rsidR="00B360BA">
        <w:t>: 29. 4. 2016</w:t>
      </w:r>
    </w:p>
    <w:p w:rsidR="0049161A" w:rsidRDefault="00B360BA" w:rsidP="0049161A">
      <w:pPr>
        <w:pStyle w:val="WW-NormlnsWWW"/>
        <w:spacing w:after="0"/>
      </w:pPr>
      <w:r>
        <w:rPr>
          <w:b/>
          <w:bCs/>
        </w:rPr>
        <w:t>Podpis oponenta</w:t>
      </w:r>
      <w:r w:rsidR="0049161A">
        <w:rPr>
          <w:b/>
          <w:bCs/>
        </w:rPr>
        <w:t xml:space="preserve"> bakalářské </w:t>
      </w:r>
      <w:proofErr w:type="gramStart"/>
      <w:r w:rsidR="0049161A">
        <w:rPr>
          <w:b/>
          <w:bCs/>
        </w:rPr>
        <w:t>práce</w:t>
      </w:r>
      <w:r w:rsidR="0049161A">
        <w:t>: .............................................................</w:t>
      </w:r>
      <w:proofErr w:type="gramEnd"/>
    </w:p>
    <w:p w:rsidR="0049161A" w:rsidRDefault="0049161A" w:rsidP="0049161A"/>
    <w:p w:rsidR="0049161A" w:rsidRDefault="0049161A" w:rsidP="0049161A">
      <w:pPr>
        <w:jc w:val="center"/>
        <w:rPr>
          <w:b/>
          <w:color w:val="999999"/>
          <w:sz w:val="22"/>
          <w:szCs w:val="22"/>
        </w:rPr>
      </w:pPr>
      <w:r>
        <w:rPr>
          <w:b/>
          <w:color w:val="999999"/>
          <w:sz w:val="22"/>
          <w:szCs w:val="22"/>
        </w:rPr>
        <w:t>Klasifikační stupnice VŠERS – platnost od akademického roku 2008/2009</w:t>
      </w:r>
    </w:p>
    <w:p w:rsidR="0049161A" w:rsidRDefault="0049161A" w:rsidP="0049161A">
      <w:pPr>
        <w:rPr>
          <w:color w:val="999999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59"/>
        <w:gridCol w:w="1134"/>
        <w:gridCol w:w="7129"/>
      </w:tblGrid>
      <w:tr w:rsidR="0049161A" w:rsidTr="00A11F41">
        <w:trPr>
          <w:cantSplit/>
        </w:trPr>
        <w:tc>
          <w:tcPr>
            <w:tcW w:w="95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113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712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Slovní vyjádření</w:t>
            </w:r>
          </w:p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Definice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(</w:t>
            </w:r>
            <w:proofErr w:type="spellStart"/>
            <w:r>
              <w:rPr>
                <w:color w:val="999999"/>
                <w:sz w:val="20"/>
                <w:szCs w:val="20"/>
              </w:rPr>
              <w:t>excellent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vynikající výkon pouze s malými chybami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minus (</w:t>
            </w:r>
            <w:proofErr w:type="spellStart"/>
            <w:r>
              <w:rPr>
                <w:color w:val="999999"/>
                <w:sz w:val="20"/>
                <w:szCs w:val="20"/>
              </w:rPr>
              <w:t>very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nad průměrným standardem, ale s chybami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(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obecné vyznění práce s řadou zřetelných chyb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minus (</w:t>
            </w:r>
            <w:proofErr w:type="spellStart"/>
            <w:r>
              <w:rPr>
                <w:color w:val="999999"/>
                <w:sz w:val="20"/>
                <w:szCs w:val="20"/>
              </w:rPr>
              <w:t>satisfactory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přijatelný, ale s významnými chybami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dobře (</w:t>
            </w:r>
            <w:proofErr w:type="spellStart"/>
            <w:r>
              <w:rPr>
                <w:color w:val="999999"/>
                <w:sz w:val="20"/>
                <w:szCs w:val="20"/>
              </w:rPr>
              <w:t>suffcient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FX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</w:t>
            </w:r>
            <w:proofErr w:type="spellStart"/>
            <w:r>
              <w:rPr>
                <w:color w:val="999999"/>
                <w:sz w:val="20"/>
                <w:szCs w:val="20"/>
              </w:rPr>
              <w:t>fail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třeba v některých oblastech další práce</w:t>
            </w:r>
          </w:p>
        </w:tc>
      </w:tr>
      <w:tr w:rsidR="0049161A" w:rsidTr="00A11F41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49161A" w:rsidRDefault="0049161A" w:rsidP="00A11F41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(FAIL)</w:t>
            </w:r>
          </w:p>
          <w:p w:rsidR="0049161A" w:rsidRDefault="0049161A" w:rsidP="00A11F41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49161A" w:rsidRDefault="0049161A" w:rsidP="0049161A"/>
    <w:p w:rsidR="0049161A" w:rsidRDefault="0049161A" w:rsidP="0049161A"/>
    <w:p w:rsidR="00DC5C6E" w:rsidRDefault="00A84EC1"/>
    <w:sectPr w:rsidR="00DC5C6E" w:rsidSect="009138A8">
      <w:footerReference w:type="default" r:id="rId9"/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4F2" w:rsidRDefault="002724F2">
      <w:r>
        <w:separator/>
      </w:r>
    </w:p>
  </w:endnote>
  <w:endnote w:type="continuationSeparator" w:id="0">
    <w:p w:rsidR="002724F2" w:rsidRDefault="0027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490862">
    <w:pPr>
      <w:jc w:val="center"/>
      <w:rPr>
        <w:b/>
        <w:color w:val="999999"/>
        <w:sz w:val="22"/>
        <w:szCs w:val="22"/>
      </w:rPr>
    </w:pPr>
    <w:r>
      <w:rPr>
        <w:b/>
        <w:color w:val="999999"/>
        <w:sz w:val="22"/>
        <w:szCs w:val="22"/>
      </w:rPr>
      <w:t>Klasifikační stupnice VŠERS – platnost od akademického roku 2007/2008</w:t>
    </w:r>
  </w:p>
  <w:p w:rsidR="00DF5EE2" w:rsidRDefault="00A84EC1">
    <w:pPr>
      <w:rPr>
        <w:color w:val="999999"/>
        <w:sz w:val="20"/>
        <w:szCs w:val="20"/>
      </w:rPr>
    </w:pPr>
  </w:p>
  <w:tbl>
    <w:tblPr>
      <w:tblW w:w="0" w:type="auto"/>
      <w:tblInd w:w="-5" w:type="dxa"/>
      <w:tblLayout w:type="fixed"/>
      <w:tblLook w:val="0000"/>
    </w:tblPr>
    <w:tblGrid>
      <w:gridCol w:w="959"/>
      <w:gridCol w:w="1134"/>
      <w:gridCol w:w="7129"/>
    </w:tblGrid>
    <w:tr w:rsidR="00DF5EE2">
      <w:trPr>
        <w:cantSplit/>
      </w:trPr>
      <w:tc>
        <w:tcPr>
          <w:tcW w:w="959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Stupně</w:t>
          </w:r>
        </w:p>
      </w:tc>
      <w:tc>
        <w:tcPr>
          <w:tcW w:w="1134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Číselné vyjádření</w:t>
          </w:r>
        </w:p>
      </w:tc>
      <w:tc>
        <w:tcPr>
          <w:tcW w:w="7129" w:type="dxa"/>
          <w:tcBorders>
            <w:top w:val="single" w:sz="1" w:space="0" w:color="808080"/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Slovní vyjádření</w:t>
          </w:r>
        </w:p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Definice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A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(</w:t>
          </w:r>
          <w:proofErr w:type="spellStart"/>
          <w:r>
            <w:rPr>
              <w:color w:val="999999"/>
              <w:sz w:val="20"/>
              <w:szCs w:val="20"/>
            </w:rPr>
            <w:t>excellent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vynikající výkon pouze s malými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B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minus (</w:t>
          </w:r>
          <w:proofErr w:type="spellStart"/>
          <w:r>
            <w:rPr>
              <w:color w:val="999999"/>
              <w:sz w:val="20"/>
              <w:szCs w:val="20"/>
            </w:rPr>
            <w:t>very</w:t>
          </w:r>
          <w:proofErr w:type="spellEnd"/>
          <w:r>
            <w:rPr>
              <w:color w:val="999999"/>
              <w:sz w:val="20"/>
              <w:szCs w:val="20"/>
            </w:rPr>
            <w:t xml:space="preserve"> 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nad průměrným standardem, ale s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C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(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obecné vyznění práce s řadou zřetelných chyb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minus (</w:t>
          </w:r>
          <w:proofErr w:type="spellStart"/>
          <w:r>
            <w:rPr>
              <w:color w:val="999999"/>
              <w:sz w:val="20"/>
              <w:szCs w:val="20"/>
            </w:rPr>
            <w:t>satisfactory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přijatelný, ale s významnými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E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3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dobře (</w:t>
          </w:r>
          <w:proofErr w:type="spellStart"/>
          <w:r>
            <w:rPr>
              <w:color w:val="999999"/>
              <w:sz w:val="20"/>
              <w:szCs w:val="20"/>
            </w:rPr>
            <w:t>suffcient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FX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</w:t>
          </w:r>
          <w:proofErr w:type="spellStart"/>
          <w:r>
            <w:rPr>
              <w:color w:val="999999"/>
              <w:sz w:val="20"/>
              <w:szCs w:val="20"/>
            </w:rPr>
            <w:t>fail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třeba v některých oblastech další práce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490862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(FAIL)</w:t>
          </w:r>
        </w:p>
        <w:p w:rsidR="00DF5EE2" w:rsidRDefault="00490862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DF5EE2" w:rsidRDefault="00A84EC1">
    <w:pPr>
      <w:rPr>
        <w:color w:val="999999"/>
      </w:rPr>
    </w:pPr>
  </w:p>
  <w:p w:rsidR="00DF5EE2" w:rsidRDefault="009138A8">
    <w:pPr>
      <w:pStyle w:val="Zpat"/>
      <w:jc w:val="center"/>
    </w:pPr>
    <w:r>
      <w:rPr>
        <w:rStyle w:val="slostrnky"/>
      </w:rPr>
      <w:fldChar w:fldCharType="begin"/>
    </w:r>
    <w:r w:rsidR="00490862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490862">
      <w:rPr>
        <w:rStyle w:val="slostrnky"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9138A8">
    <w:pPr>
      <w:pStyle w:val="Zpat"/>
      <w:jc w:val="center"/>
    </w:pPr>
    <w:r>
      <w:rPr>
        <w:rStyle w:val="slostrnky"/>
      </w:rPr>
      <w:fldChar w:fldCharType="begin"/>
    </w:r>
    <w:r w:rsidR="00490862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A84EC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A84EC1">
    <w:pPr>
      <w:rPr>
        <w:color w:val="999999"/>
      </w:rPr>
    </w:pPr>
  </w:p>
  <w:p w:rsidR="00DF5EE2" w:rsidRDefault="009138A8">
    <w:pPr>
      <w:pStyle w:val="Zpat"/>
      <w:jc w:val="center"/>
    </w:pPr>
    <w:r>
      <w:rPr>
        <w:rStyle w:val="slostrnky"/>
      </w:rPr>
      <w:fldChar w:fldCharType="begin"/>
    </w:r>
    <w:r w:rsidR="00490862"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A84EC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4F2" w:rsidRDefault="002724F2">
      <w:r>
        <w:separator/>
      </w:r>
    </w:p>
  </w:footnote>
  <w:footnote w:type="continuationSeparator" w:id="0">
    <w:p w:rsidR="002724F2" w:rsidRDefault="00272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161A"/>
    <w:rsid w:val="00013F70"/>
    <w:rsid w:val="002724F2"/>
    <w:rsid w:val="00323ED8"/>
    <w:rsid w:val="00490862"/>
    <w:rsid w:val="0049161A"/>
    <w:rsid w:val="004F07BF"/>
    <w:rsid w:val="008B4165"/>
    <w:rsid w:val="008C344E"/>
    <w:rsid w:val="009138A8"/>
    <w:rsid w:val="00A72281"/>
    <w:rsid w:val="00A84EC1"/>
    <w:rsid w:val="00B06CC7"/>
    <w:rsid w:val="00B360BA"/>
    <w:rsid w:val="00BC4E2F"/>
    <w:rsid w:val="00C4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6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9161A"/>
  </w:style>
  <w:style w:type="paragraph" w:customStyle="1" w:styleId="WW-NormlnsWWW">
    <w:name w:val="WW-Normální (síť WWW)"/>
    <w:basedOn w:val="Normln"/>
    <w:rsid w:val="0049161A"/>
    <w:pPr>
      <w:spacing w:before="280" w:after="119"/>
    </w:pPr>
  </w:style>
  <w:style w:type="paragraph" w:styleId="Zpat">
    <w:name w:val="footer"/>
    <w:basedOn w:val="Normln"/>
    <w:link w:val="ZpatChar"/>
    <w:rsid w:val="004916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16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6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9161A"/>
  </w:style>
  <w:style w:type="paragraph" w:customStyle="1" w:styleId="WW-NormlnsWWW">
    <w:name w:val="WW-Normální (síť WWW)"/>
    <w:basedOn w:val="Normln"/>
    <w:rsid w:val="0049161A"/>
    <w:pPr>
      <w:spacing w:before="280" w:after="119"/>
    </w:pPr>
  </w:style>
  <w:style w:type="paragraph" w:styleId="Zpat">
    <w:name w:val="footer"/>
    <w:basedOn w:val="Normln"/>
    <w:link w:val="ZpatChar"/>
    <w:rsid w:val="004916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16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vsers</dc:creator>
  <cp:lastModifiedBy>vsers</cp:lastModifiedBy>
  <cp:revision>2</cp:revision>
  <dcterms:created xsi:type="dcterms:W3CDTF">2016-04-24T08:42:00Z</dcterms:created>
  <dcterms:modified xsi:type="dcterms:W3CDTF">2016-04-24T08:42:00Z</dcterms:modified>
</cp:coreProperties>
</file>