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45" w:rsidRDefault="00F55945" w:rsidP="00F55945">
      <w:pPr>
        <w:pStyle w:val="WW-NormlnsWWW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VYSOKÁ ŠKOLA EVROPSKÝCH A REGIONÁLNÍCH STUDIÍ, o.p.s.</w:t>
      </w:r>
    </w:p>
    <w:p w:rsidR="00F55945" w:rsidRDefault="00F55945" w:rsidP="00F55945">
      <w:pPr>
        <w:pStyle w:val="WW-NormlnsWWW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Žižkova 6, 370 01 České Budějovice</w:t>
      </w:r>
    </w:p>
    <w:p w:rsidR="00F55945" w:rsidRDefault="00F55945" w:rsidP="00F55945">
      <w:pPr>
        <w:pStyle w:val="WW-NormlnsWWW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Posudek oponenta bakalářské práce</w:t>
      </w:r>
    </w:p>
    <w:p w:rsidR="00F55945" w:rsidRDefault="00F55945" w:rsidP="00F55945">
      <w:pPr>
        <w:pStyle w:val="WW-NormlnsWWW"/>
        <w:spacing w:after="0"/>
        <w:jc w:val="center"/>
        <w:rPr>
          <w:b/>
          <w:bCs/>
          <w:sz w:val="28"/>
          <w:szCs w:val="28"/>
        </w:rPr>
      </w:pPr>
    </w:p>
    <w:p w:rsidR="00F55945" w:rsidRPr="00F55945" w:rsidRDefault="00F55945" w:rsidP="00F55945">
      <w:pPr>
        <w:pStyle w:val="Default"/>
      </w:pPr>
      <w:r>
        <w:rPr>
          <w:b/>
          <w:bCs/>
        </w:rPr>
        <w:t>Jméno a příjmení studenta</w:t>
      </w:r>
      <w:r>
        <w:t xml:space="preserve">: </w:t>
      </w:r>
      <w:r w:rsidR="00686279">
        <w:rPr>
          <w:bCs/>
        </w:rPr>
        <w:t xml:space="preserve">Ondřej </w:t>
      </w:r>
      <w:proofErr w:type="spellStart"/>
      <w:r w:rsidR="00686279">
        <w:rPr>
          <w:bCs/>
        </w:rPr>
        <w:t>Duka</w:t>
      </w:r>
      <w:proofErr w:type="spellEnd"/>
    </w:p>
    <w:p w:rsidR="00F55945" w:rsidRPr="00F55945" w:rsidRDefault="00F55945" w:rsidP="00F55945">
      <w:pPr>
        <w:pStyle w:val="Default"/>
      </w:pPr>
      <w:r>
        <w:rPr>
          <w:b/>
          <w:bCs/>
        </w:rPr>
        <w:t>Název bakalářské práce</w:t>
      </w:r>
      <w:r w:rsidR="00686279">
        <w:t>: Fotbalové násilí</w:t>
      </w:r>
    </w:p>
    <w:p w:rsidR="00F55945" w:rsidRDefault="00F55945" w:rsidP="00F55945">
      <w:pPr>
        <w:pStyle w:val="WW-NormlnsWWW"/>
        <w:spacing w:after="0"/>
      </w:pPr>
      <w:r>
        <w:rPr>
          <w:b/>
          <w:bCs/>
        </w:rPr>
        <w:t xml:space="preserve">Studijní obor: </w:t>
      </w:r>
      <w:r w:rsidRPr="006820FE">
        <w:t>Bezpečnostně právní činnost</w:t>
      </w:r>
      <w:r>
        <w:t xml:space="preserve"> ve veřejné správě</w:t>
      </w:r>
    </w:p>
    <w:p w:rsidR="00F55945" w:rsidRDefault="00F55945" w:rsidP="00F55945">
      <w:pPr>
        <w:pStyle w:val="WW-NormlnsWWW"/>
        <w:spacing w:after="0"/>
      </w:pPr>
      <w:r>
        <w:rPr>
          <w:b/>
          <w:bCs/>
        </w:rPr>
        <w:t>Titul, jméno a příjmení oponenta práce</w:t>
      </w:r>
      <w:r>
        <w:t>: Mgr. Štěpán Strnad, PhD.</w:t>
      </w:r>
    </w:p>
    <w:p w:rsidR="00F55945" w:rsidRDefault="00F55945" w:rsidP="00F55945">
      <w:pPr>
        <w:pStyle w:val="WW-NormlnsWWW"/>
        <w:spacing w:after="0"/>
      </w:pPr>
      <w:r>
        <w:rPr>
          <w:b/>
          <w:bCs/>
        </w:rPr>
        <w:t>Pracoviště a pracovní zařazení</w:t>
      </w:r>
      <w:r>
        <w:t>: Policejní akademie ČR v Praze. Odborný asistent</w:t>
      </w:r>
    </w:p>
    <w:p w:rsidR="00F55945" w:rsidRDefault="00F55945" w:rsidP="00F55945">
      <w:pPr>
        <w:pStyle w:val="WW-NormlnsWWW"/>
        <w:spacing w:before="119" w:after="62"/>
      </w:pPr>
    </w:p>
    <w:p w:rsidR="00F55945" w:rsidRDefault="00F55945" w:rsidP="00F55945">
      <w:pPr>
        <w:pStyle w:val="WW-NormlnsWWW"/>
        <w:spacing w:before="119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523"/>
        <w:gridCol w:w="434"/>
      </w:tblGrid>
      <w:tr w:rsidR="00F55945" w:rsidTr="00D9321F">
        <w:trPr>
          <w:cantSplit/>
          <w:trHeight w:hRule="exact" w:val="395"/>
          <w:jc w:val="center"/>
        </w:trPr>
        <w:tc>
          <w:tcPr>
            <w:tcW w:w="45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b/>
              </w:rPr>
            </w:pPr>
          </w:p>
          <w:p w:rsidR="00F55945" w:rsidRDefault="00F55945" w:rsidP="00D9321F">
            <w:pPr>
              <w:pStyle w:val="WW-NormlnsWWW"/>
              <w:spacing w:before="119" w:after="62"/>
              <w:rPr>
                <w:b/>
              </w:rPr>
            </w:pPr>
            <w:r>
              <w:rPr>
                <w:b/>
              </w:rPr>
              <w:t>Kritérium hodnocení</w:t>
            </w:r>
          </w:p>
          <w:p w:rsidR="00F55945" w:rsidRDefault="00F55945" w:rsidP="00D9321F">
            <w:pPr>
              <w:pStyle w:val="WW-NormlnsWWW"/>
              <w:spacing w:before="119" w:after="62"/>
            </w:pPr>
            <w:r>
              <w:t>(označte křížkem)</w:t>
            </w:r>
          </w:p>
        </w:tc>
        <w:tc>
          <w:tcPr>
            <w:tcW w:w="440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jc w:val="center"/>
              <w:rPr>
                <w:b/>
              </w:rPr>
            </w:pPr>
            <w:r>
              <w:rPr>
                <w:b/>
              </w:rPr>
              <w:t>Stupeň hodnocení</w:t>
            </w:r>
          </w:p>
        </w:tc>
      </w:tr>
      <w:tr w:rsidR="00F55945" w:rsidTr="00D9321F">
        <w:trPr>
          <w:cantSplit/>
          <w:trHeight w:hRule="exact" w:val="394"/>
          <w:jc w:val="center"/>
        </w:trPr>
        <w:tc>
          <w:tcPr>
            <w:tcW w:w="45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/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</w:pPr>
            <w:r>
              <w:t>stupeň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jc w:val="center"/>
            </w:pPr>
            <w:r>
              <w:t>A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jc w:val="center"/>
            </w:pPr>
            <w:r>
              <w:t>B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jc w:val="center"/>
            </w:pPr>
            <w:r>
              <w:t>C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jc w:val="center"/>
            </w:pPr>
            <w:r>
              <w:t>D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jc w:val="center"/>
            </w:pPr>
            <w:r>
              <w:t>E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jc w:val="center"/>
            </w:pPr>
            <w:r>
              <w:t>FX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jc w:val="center"/>
            </w:pPr>
            <w:r>
              <w:t>F</w:t>
            </w:r>
          </w:p>
        </w:tc>
      </w:tr>
      <w:tr w:rsidR="00F55945" w:rsidTr="00D9321F">
        <w:trPr>
          <w:cantSplit/>
          <w:jc w:val="center"/>
        </w:trPr>
        <w:tc>
          <w:tcPr>
            <w:tcW w:w="45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/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r>
              <w:t>číselné vyjádření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Pr="004B4BB7" w:rsidRDefault="00F55945" w:rsidP="00D9321F">
            <w:pPr>
              <w:pStyle w:val="WW-NormlnsWWW"/>
              <w:spacing w:before="119" w:after="62"/>
              <w:jc w:val="center"/>
              <w:rPr>
                <w:sz w:val="22"/>
                <w:szCs w:val="22"/>
              </w:rPr>
            </w:pPr>
            <w:r w:rsidRPr="004B4BB7">
              <w:rPr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Pr="004B4BB7" w:rsidRDefault="00F55945" w:rsidP="00D9321F">
            <w:pPr>
              <w:pStyle w:val="WW-NormlnsWWW"/>
              <w:spacing w:before="119" w:after="62"/>
              <w:jc w:val="center"/>
              <w:rPr>
                <w:sz w:val="22"/>
                <w:szCs w:val="22"/>
              </w:rPr>
            </w:pPr>
            <w:r w:rsidRPr="004B4BB7">
              <w:rPr>
                <w:sz w:val="22"/>
                <w:szCs w:val="22"/>
              </w:rPr>
              <w:t>1,5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Pr="004B4BB7" w:rsidRDefault="00F55945" w:rsidP="00D9321F">
            <w:pPr>
              <w:pStyle w:val="WW-NormlnsWWW"/>
              <w:spacing w:before="119" w:after="62"/>
              <w:jc w:val="center"/>
              <w:rPr>
                <w:sz w:val="22"/>
                <w:szCs w:val="22"/>
              </w:rPr>
            </w:pPr>
            <w:r w:rsidRPr="004B4BB7"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Pr="004B4BB7" w:rsidRDefault="00F55945" w:rsidP="00D9321F">
            <w:pPr>
              <w:pStyle w:val="WW-NormlnsWWW"/>
              <w:spacing w:before="119" w:after="62"/>
              <w:jc w:val="center"/>
              <w:rPr>
                <w:sz w:val="22"/>
                <w:szCs w:val="22"/>
              </w:rPr>
            </w:pPr>
            <w:r w:rsidRPr="004B4BB7">
              <w:rPr>
                <w:sz w:val="22"/>
                <w:szCs w:val="22"/>
              </w:rPr>
              <w:t>2,5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Pr="004B4BB7" w:rsidRDefault="00F55945" w:rsidP="00D9321F">
            <w:pPr>
              <w:pStyle w:val="WW-NormlnsWWW"/>
              <w:spacing w:before="119" w:after="62"/>
              <w:jc w:val="center"/>
              <w:rPr>
                <w:sz w:val="22"/>
                <w:szCs w:val="22"/>
              </w:rPr>
            </w:pPr>
            <w:r w:rsidRPr="004B4BB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Pr="004B4BB7" w:rsidRDefault="00F55945" w:rsidP="00D9321F">
            <w:pPr>
              <w:pStyle w:val="WW-NormlnsWWW"/>
              <w:spacing w:before="119" w:after="62"/>
              <w:jc w:val="center"/>
              <w:rPr>
                <w:sz w:val="22"/>
                <w:szCs w:val="22"/>
              </w:rPr>
            </w:pPr>
            <w:r w:rsidRPr="004B4BB7">
              <w:rPr>
                <w:sz w:val="22"/>
                <w:szCs w:val="22"/>
              </w:rPr>
              <w:t>-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jc w:val="center"/>
            </w:pPr>
            <w:r>
              <w:t>-</w:t>
            </w:r>
          </w:p>
        </w:tc>
      </w:tr>
      <w:tr w:rsidR="00F55945" w:rsidTr="00D9321F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r>
              <w:t>volba tématu ve vztahu ke studovanému oboru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F55945" w:rsidTr="00D9321F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r>
              <w:t>aktuálnost a náročnost práce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F55945" w:rsidTr="00D9321F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r>
              <w:t>formulace cílů a úroveň jejich naplnění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686279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F55945" w:rsidTr="00D9321F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r>
              <w:t>vhodnost členění práce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686279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F55945" w:rsidTr="00D9321F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r>
              <w:t>teoretická úroveň zpracování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686279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F55945" w:rsidTr="00D9321F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r>
              <w:t>metodická úroveň zpracování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686279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F55945" w:rsidTr="00D9321F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r>
              <w:t>reprezentativnost a rozsah použité literatury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686279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F55945" w:rsidTr="00D9321F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r>
              <w:t>úroveň práce s literaturou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686279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F55945" w:rsidTr="00D9321F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r>
              <w:t xml:space="preserve">dodržování bibliografických norem 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F55945" w:rsidTr="00D9321F">
        <w:trPr>
          <w:cantSplit/>
          <w:trHeight w:val="365"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r>
              <w:t xml:space="preserve">úroveň jazykového zpracování 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F55945" w:rsidTr="00D9321F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r>
              <w:t>vazba závěrů práce na její obsah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686279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F55945" w:rsidTr="00D9321F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r>
              <w:t>uplatnění práce v praxi / výuce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686279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F55945" w:rsidTr="00D9321F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r>
              <w:t>vazba souhrnu a klíčových slov na obsah práce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686279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F55945" w:rsidTr="00D9321F">
        <w:trPr>
          <w:cantSplit/>
          <w:jc w:val="center"/>
        </w:trPr>
        <w:tc>
          <w:tcPr>
            <w:tcW w:w="5662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rPr>
                <w:b/>
              </w:rPr>
            </w:pPr>
            <w:r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5945" w:rsidRDefault="00686279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945" w:rsidRDefault="00F55945" w:rsidP="00D9321F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</w:tbl>
    <w:p w:rsidR="00F55945" w:rsidRDefault="00F55945" w:rsidP="00F55945">
      <w:pPr>
        <w:rPr>
          <w:b/>
          <w:bCs/>
        </w:rPr>
        <w:sectPr w:rsidR="00F55945"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1418" w:right="1418" w:bottom="1418" w:left="1418" w:header="708" w:footer="709" w:gutter="0"/>
          <w:cols w:space="708"/>
          <w:titlePg/>
          <w:docGrid w:linePitch="360"/>
        </w:sectPr>
      </w:pPr>
    </w:p>
    <w:p w:rsidR="00F55945" w:rsidRDefault="00F55945" w:rsidP="00F55945">
      <w:pPr>
        <w:pStyle w:val="WW-NormlnsWWW"/>
        <w:spacing w:after="0"/>
        <w:rPr>
          <w:b/>
          <w:bCs/>
        </w:rPr>
      </w:pPr>
      <w:r>
        <w:rPr>
          <w:b/>
          <w:bCs/>
        </w:rPr>
        <w:lastRenderedPageBreak/>
        <w:t xml:space="preserve">Stručné verbální hodnocení bakalářské práce: </w:t>
      </w:r>
    </w:p>
    <w:p w:rsidR="00F55945" w:rsidRPr="00BA4905" w:rsidRDefault="00F55945" w:rsidP="00F55945">
      <w:pPr>
        <w:spacing w:before="280"/>
        <w:jc w:val="both"/>
        <w:rPr>
          <w:bCs/>
        </w:rPr>
      </w:pPr>
      <w:r>
        <w:rPr>
          <w:bCs/>
        </w:rPr>
        <w:t>Cílem předkládané práce je „</w:t>
      </w:r>
      <w:r w:rsidR="00686279" w:rsidRPr="00686279">
        <w:rPr>
          <w:bCs/>
          <w:i/>
        </w:rPr>
        <w:t xml:space="preserve">definovat pojem fotbalové násilí, rozlišit pojmy </w:t>
      </w:r>
      <w:proofErr w:type="spellStart"/>
      <w:r w:rsidR="00686279" w:rsidRPr="00686279">
        <w:rPr>
          <w:bCs/>
          <w:i/>
        </w:rPr>
        <w:t>fans</w:t>
      </w:r>
      <w:proofErr w:type="spellEnd"/>
      <w:r w:rsidR="00686279" w:rsidRPr="00686279">
        <w:rPr>
          <w:bCs/>
          <w:i/>
        </w:rPr>
        <w:t xml:space="preserve">, </w:t>
      </w:r>
      <w:proofErr w:type="spellStart"/>
      <w:r w:rsidR="00686279" w:rsidRPr="00686279">
        <w:rPr>
          <w:bCs/>
          <w:i/>
        </w:rPr>
        <w:t>ultras</w:t>
      </w:r>
      <w:proofErr w:type="spellEnd"/>
      <w:r w:rsidR="00686279" w:rsidRPr="00686279">
        <w:rPr>
          <w:bCs/>
          <w:i/>
        </w:rPr>
        <w:t xml:space="preserve">, </w:t>
      </w:r>
      <w:proofErr w:type="spellStart"/>
      <w:r w:rsidR="00686279" w:rsidRPr="00686279">
        <w:rPr>
          <w:bCs/>
          <w:i/>
        </w:rPr>
        <w:t>hooligans</w:t>
      </w:r>
      <w:proofErr w:type="spellEnd"/>
      <w:r w:rsidR="00686279" w:rsidRPr="00686279">
        <w:rPr>
          <w:bCs/>
          <w:i/>
        </w:rPr>
        <w:t xml:space="preserve"> a </w:t>
      </w:r>
      <w:proofErr w:type="spellStart"/>
      <w:r w:rsidR="00686279" w:rsidRPr="00686279">
        <w:rPr>
          <w:bCs/>
          <w:i/>
        </w:rPr>
        <w:t>rowdies</w:t>
      </w:r>
      <w:proofErr w:type="spellEnd"/>
      <w:r w:rsidR="00686279" w:rsidRPr="00686279">
        <w:rPr>
          <w:bCs/>
          <w:i/>
        </w:rPr>
        <w:t>. Zároveň vymezit i divácké násilí, veřejný pořádek a opatření přijatá ze strany fotbalových klubů a Policie České republiky</w:t>
      </w:r>
      <w:r w:rsidR="00686279">
        <w:rPr>
          <w:bCs/>
        </w:rPr>
        <w:t>“ (s. 9</w:t>
      </w:r>
      <w:r w:rsidRPr="00BA4905">
        <w:rPr>
          <w:bCs/>
        </w:rPr>
        <w:t>). Tento záměr se autorovi podařilo naplnit</w:t>
      </w:r>
      <w:r w:rsidR="005703F1">
        <w:rPr>
          <w:bCs/>
        </w:rPr>
        <w:t>. Práce je čitelně</w:t>
      </w:r>
      <w:r w:rsidRPr="00BA4905">
        <w:rPr>
          <w:bCs/>
        </w:rPr>
        <w:t xml:space="preserve"> strukturována do teoreticky navazujících tematických bloků,</w:t>
      </w:r>
      <w:r w:rsidR="000026ED">
        <w:rPr>
          <w:bCs/>
        </w:rPr>
        <w:t xml:space="preserve"> která vytvářejí ucelený monolit propojení autorovy osobní profesní zkušenosti a teoretického zasazení zvoleného tématu. Přidanou hodnotou práce jsou dotazníková šetření. Práce je vhodně doplněna i o obrazové přílohy. </w:t>
      </w:r>
      <w:bookmarkStart w:id="0" w:name="_GoBack"/>
      <w:bookmarkEnd w:id="0"/>
      <w:r w:rsidRPr="00BA4905">
        <w:rPr>
          <w:bCs/>
        </w:rPr>
        <w:t xml:space="preserve"> </w:t>
      </w:r>
    </w:p>
    <w:p w:rsidR="00F55945" w:rsidRDefault="00F55945" w:rsidP="00F55945">
      <w:pPr>
        <w:pStyle w:val="WW-NormlnsWWW"/>
        <w:spacing w:after="0"/>
        <w:jc w:val="both"/>
        <w:rPr>
          <w:b/>
          <w:bCs/>
        </w:rPr>
      </w:pPr>
    </w:p>
    <w:p w:rsidR="00F55945" w:rsidRDefault="00F55945" w:rsidP="00F55945">
      <w:pPr>
        <w:pStyle w:val="WW-NormlnsWWW"/>
        <w:spacing w:after="0"/>
      </w:pPr>
      <w:r>
        <w:rPr>
          <w:b/>
          <w:bCs/>
        </w:rPr>
        <w:t>Otázky k obhajobě</w:t>
      </w:r>
      <w:r>
        <w:t>:</w:t>
      </w:r>
    </w:p>
    <w:p w:rsidR="00686279" w:rsidRDefault="00686279" w:rsidP="00686279">
      <w:pPr>
        <w:pStyle w:val="WW-NormlnsWWW"/>
        <w:numPr>
          <w:ilvl w:val="0"/>
          <w:numId w:val="1"/>
        </w:numPr>
        <w:spacing w:after="0"/>
        <w:jc w:val="both"/>
      </w:pPr>
      <w:r>
        <w:t>Jaké jsou zkušenosti s Vámi navrhovanou Centrální Evidencí</w:t>
      </w:r>
      <w:r w:rsidRPr="00686279">
        <w:t xml:space="preserve"> Fotbalových </w:t>
      </w:r>
      <w:proofErr w:type="spellStart"/>
      <w:r w:rsidRPr="00686279">
        <w:t>Fans</w:t>
      </w:r>
      <w:proofErr w:type="spellEnd"/>
      <w:r>
        <w:t xml:space="preserve"> v zahraničí?</w:t>
      </w:r>
    </w:p>
    <w:p w:rsidR="00686279" w:rsidRDefault="00686279" w:rsidP="00686279">
      <w:pPr>
        <w:pStyle w:val="WW-NormlnsWWW"/>
        <w:numPr>
          <w:ilvl w:val="0"/>
          <w:numId w:val="1"/>
        </w:numPr>
        <w:spacing w:after="0"/>
        <w:jc w:val="both"/>
      </w:pPr>
      <w:r>
        <w:t>Jaké typy právních postihů narušitelů veřejného pořádku (zejména spojeného s násilím a poškozováním cizí věci) by dle Vás byly efektivnější?</w:t>
      </w:r>
    </w:p>
    <w:p w:rsidR="00F55945" w:rsidRDefault="00F55945" w:rsidP="00686279">
      <w:pPr>
        <w:pStyle w:val="WW-NormlnsWWW"/>
        <w:spacing w:after="0"/>
        <w:ind w:left="360"/>
        <w:jc w:val="both"/>
      </w:pPr>
      <w:r>
        <w:rPr>
          <w:b/>
          <w:bCs/>
        </w:rPr>
        <w:t>Datum</w:t>
      </w:r>
      <w:r w:rsidR="00686279">
        <w:t>: 3. 5. 2017</w:t>
      </w:r>
    </w:p>
    <w:p w:rsidR="00F55945" w:rsidRDefault="00F55945" w:rsidP="00F55945">
      <w:pPr>
        <w:pStyle w:val="WW-NormlnsWWW"/>
        <w:spacing w:after="0"/>
      </w:pPr>
      <w:r>
        <w:rPr>
          <w:b/>
          <w:bCs/>
        </w:rPr>
        <w:t xml:space="preserve">Podpis oponenta bakalářské </w:t>
      </w:r>
      <w:proofErr w:type="gramStart"/>
      <w:r>
        <w:rPr>
          <w:b/>
          <w:bCs/>
        </w:rPr>
        <w:t>práce</w:t>
      </w:r>
      <w:r>
        <w:t>: .............................................................</w:t>
      </w:r>
      <w:proofErr w:type="gramEnd"/>
    </w:p>
    <w:p w:rsidR="00F55945" w:rsidRDefault="00F55945" w:rsidP="00F55945"/>
    <w:p w:rsidR="00F55945" w:rsidRDefault="00F55945" w:rsidP="00F55945">
      <w:pPr>
        <w:jc w:val="center"/>
        <w:rPr>
          <w:b/>
          <w:color w:val="999999"/>
          <w:sz w:val="22"/>
          <w:szCs w:val="22"/>
        </w:rPr>
      </w:pPr>
      <w:r>
        <w:rPr>
          <w:b/>
          <w:color w:val="999999"/>
          <w:sz w:val="22"/>
          <w:szCs w:val="22"/>
        </w:rPr>
        <w:t>Klasifikační stupnice VŠERS – platnost od akademického roku 2008/2009</w:t>
      </w:r>
    </w:p>
    <w:p w:rsidR="00F55945" w:rsidRDefault="00F55945" w:rsidP="00F55945">
      <w:pPr>
        <w:rPr>
          <w:color w:val="999999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7129"/>
      </w:tblGrid>
      <w:tr w:rsidR="00F55945" w:rsidTr="00D9321F">
        <w:trPr>
          <w:cantSplit/>
        </w:trPr>
        <w:tc>
          <w:tcPr>
            <w:tcW w:w="9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F55945" w:rsidRDefault="00F55945" w:rsidP="00D9321F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Stupně</w:t>
            </w:r>
          </w:p>
        </w:tc>
        <w:tc>
          <w:tcPr>
            <w:tcW w:w="113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F55945" w:rsidRDefault="00F55945" w:rsidP="00D9321F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Číselné vyjádření</w:t>
            </w:r>
          </w:p>
        </w:tc>
        <w:tc>
          <w:tcPr>
            <w:tcW w:w="712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F55945" w:rsidRDefault="00F55945" w:rsidP="00D9321F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Slovní vyjádření</w:t>
            </w:r>
          </w:p>
          <w:p w:rsidR="00F55945" w:rsidRDefault="00F55945" w:rsidP="00D9321F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Definice</w:t>
            </w:r>
          </w:p>
        </w:tc>
      </w:tr>
      <w:tr w:rsidR="00F55945" w:rsidTr="00D9321F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F55945" w:rsidRDefault="00F55945" w:rsidP="00D9321F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F55945" w:rsidRDefault="00F55945" w:rsidP="00D9321F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F55945" w:rsidRDefault="00F55945" w:rsidP="00D9321F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výborně (</w:t>
            </w:r>
            <w:proofErr w:type="spellStart"/>
            <w:r>
              <w:rPr>
                <w:color w:val="999999"/>
                <w:sz w:val="20"/>
                <w:szCs w:val="20"/>
              </w:rPr>
              <w:t>excellent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F55945" w:rsidRDefault="00F55945" w:rsidP="00D9321F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vynikající výkon pouze s malými chybami</w:t>
            </w:r>
          </w:p>
        </w:tc>
      </w:tr>
      <w:tr w:rsidR="00F55945" w:rsidTr="00D9321F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F55945" w:rsidRDefault="00F55945" w:rsidP="00D9321F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F55945" w:rsidRDefault="00F55945" w:rsidP="00D9321F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1,5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F55945" w:rsidRDefault="00F55945" w:rsidP="00D9321F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 xml:space="preserve">výborně minus (very </w:t>
            </w:r>
            <w:proofErr w:type="spellStart"/>
            <w:r>
              <w:rPr>
                <w:color w:val="999999"/>
                <w:sz w:val="20"/>
                <w:szCs w:val="20"/>
              </w:rPr>
              <w:t>good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F55945" w:rsidRDefault="00F55945" w:rsidP="00D9321F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nad průměrným standardem, ale s chybami</w:t>
            </w:r>
          </w:p>
        </w:tc>
      </w:tr>
      <w:tr w:rsidR="00F55945" w:rsidTr="00D9321F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F55945" w:rsidRDefault="00F55945" w:rsidP="00D9321F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F55945" w:rsidRDefault="00F55945" w:rsidP="00D9321F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2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F55945" w:rsidRDefault="00F55945" w:rsidP="00D9321F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velmi dobře (</w:t>
            </w:r>
            <w:proofErr w:type="spellStart"/>
            <w:r>
              <w:rPr>
                <w:color w:val="999999"/>
                <w:sz w:val="20"/>
                <w:szCs w:val="20"/>
              </w:rPr>
              <w:t>good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F55945" w:rsidRDefault="00F55945" w:rsidP="00D9321F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obecné vyznění práce s řadou zřetelných chyb</w:t>
            </w:r>
          </w:p>
        </w:tc>
      </w:tr>
      <w:tr w:rsidR="00F55945" w:rsidTr="00D9321F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F55945" w:rsidRDefault="00F55945" w:rsidP="00D9321F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F55945" w:rsidRDefault="00F55945" w:rsidP="00D9321F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2,5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F55945" w:rsidRDefault="00F55945" w:rsidP="00D9321F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velmi dobře minus (</w:t>
            </w:r>
            <w:proofErr w:type="spellStart"/>
            <w:r>
              <w:rPr>
                <w:color w:val="999999"/>
                <w:sz w:val="20"/>
                <w:szCs w:val="20"/>
              </w:rPr>
              <w:t>satisfactory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F55945" w:rsidRDefault="00F55945" w:rsidP="00D9321F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přijatelný, ale s významnými chybami</w:t>
            </w:r>
          </w:p>
        </w:tc>
      </w:tr>
      <w:tr w:rsidR="00F55945" w:rsidTr="00D9321F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F55945" w:rsidRDefault="00F55945" w:rsidP="00D9321F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F55945" w:rsidRDefault="00F55945" w:rsidP="00D9321F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3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F55945" w:rsidRDefault="00F55945" w:rsidP="00D9321F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dobře (</w:t>
            </w:r>
            <w:proofErr w:type="spellStart"/>
            <w:r>
              <w:rPr>
                <w:color w:val="999999"/>
                <w:sz w:val="20"/>
                <w:szCs w:val="20"/>
              </w:rPr>
              <w:t>suffcient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F55945" w:rsidRDefault="00F55945" w:rsidP="00D9321F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výkon nad hranicí minima</w:t>
            </w:r>
          </w:p>
        </w:tc>
      </w:tr>
      <w:tr w:rsidR="00F55945" w:rsidTr="00D9321F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F55945" w:rsidRDefault="00F55945" w:rsidP="00D9321F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FX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F55945" w:rsidRDefault="00F55945" w:rsidP="00D9321F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-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F55945" w:rsidRDefault="00F55945" w:rsidP="00D9321F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nevyhověl (</w:t>
            </w:r>
            <w:proofErr w:type="spellStart"/>
            <w:r>
              <w:rPr>
                <w:color w:val="999999"/>
                <w:sz w:val="20"/>
                <w:szCs w:val="20"/>
              </w:rPr>
              <w:t>fail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F55945" w:rsidRDefault="00F55945" w:rsidP="00D9321F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je třeba v některých oblastech další práce</w:t>
            </w:r>
          </w:p>
        </w:tc>
      </w:tr>
      <w:tr w:rsidR="00F55945" w:rsidTr="00D9321F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F55945" w:rsidRDefault="00F55945" w:rsidP="00D9321F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F55945" w:rsidRDefault="00F55945" w:rsidP="00D9321F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-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F55945" w:rsidRDefault="00F55945" w:rsidP="00D9321F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nevyhověl (FAIL)</w:t>
            </w:r>
          </w:p>
          <w:p w:rsidR="00F55945" w:rsidRDefault="00F55945" w:rsidP="00D9321F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je zapotřebí značné množství další práce</w:t>
            </w:r>
          </w:p>
        </w:tc>
      </w:tr>
    </w:tbl>
    <w:p w:rsidR="00BD30B9" w:rsidRDefault="00BD30B9"/>
    <w:sectPr w:rsidR="00BD30B9">
      <w:footerReference w:type="default" r:id="rId10"/>
      <w:footnotePr>
        <w:pos w:val="beneathText"/>
      </w:footnotePr>
      <w:pgSz w:w="11905" w:h="16837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A3" w:rsidRDefault="003958A3">
      <w:r>
        <w:separator/>
      </w:r>
    </w:p>
  </w:endnote>
  <w:endnote w:type="continuationSeparator" w:id="0">
    <w:p w:rsidR="003958A3" w:rsidRDefault="0039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E2" w:rsidRDefault="00157B4D">
    <w:pPr>
      <w:jc w:val="center"/>
      <w:rPr>
        <w:b/>
        <w:color w:val="999999"/>
        <w:sz w:val="22"/>
        <w:szCs w:val="22"/>
      </w:rPr>
    </w:pPr>
    <w:r>
      <w:rPr>
        <w:b/>
        <w:color w:val="999999"/>
        <w:sz w:val="22"/>
        <w:szCs w:val="22"/>
      </w:rPr>
      <w:t>Klasifikační stupnice VŠERS – platnost od akademického roku 2007/2008</w:t>
    </w:r>
  </w:p>
  <w:p w:rsidR="00DF5EE2" w:rsidRDefault="003958A3">
    <w:pPr>
      <w:rPr>
        <w:color w:val="999999"/>
        <w:sz w:val="20"/>
        <w:szCs w:val="20"/>
      </w:rPr>
    </w:pPr>
  </w:p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959"/>
      <w:gridCol w:w="1134"/>
      <w:gridCol w:w="7129"/>
    </w:tblGrid>
    <w:tr w:rsidR="00DF5EE2">
      <w:trPr>
        <w:cantSplit/>
      </w:trPr>
      <w:tc>
        <w:tcPr>
          <w:tcW w:w="959" w:type="dxa"/>
          <w:tcBorders>
            <w:top w:val="single" w:sz="1" w:space="0" w:color="808080"/>
            <w:left w:val="single" w:sz="1" w:space="0" w:color="808080"/>
            <w:bottom w:val="single" w:sz="1" w:space="0" w:color="808080"/>
          </w:tcBorders>
        </w:tcPr>
        <w:p w:rsidR="00DF5EE2" w:rsidRDefault="00157B4D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Stupně</w:t>
          </w:r>
        </w:p>
      </w:tc>
      <w:tc>
        <w:tcPr>
          <w:tcW w:w="1134" w:type="dxa"/>
          <w:tcBorders>
            <w:top w:val="single" w:sz="1" w:space="0" w:color="808080"/>
            <w:left w:val="single" w:sz="1" w:space="0" w:color="808080"/>
            <w:bottom w:val="single" w:sz="1" w:space="0" w:color="808080"/>
          </w:tcBorders>
        </w:tcPr>
        <w:p w:rsidR="00DF5EE2" w:rsidRDefault="00157B4D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Číselné vyjádření</w:t>
          </w:r>
        </w:p>
      </w:tc>
      <w:tc>
        <w:tcPr>
          <w:tcW w:w="7129" w:type="dxa"/>
          <w:tcBorders>
            <w:top w:val="single" w:sz="1" w:space="0" w:color="808080"/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157B4D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Slovní vyjádření</w:t>
          </w:r>
        </w:p>
        <w:p w:rsidR="00DF5EE2" w:rsidRDefault="00157B4D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Definice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157B4D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A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157B4D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1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157B4D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výborně (</w:t>
          </w:r>
          <w:proofErr w:type="spellStart"/>
          <w:r>
            <w:rPr>
              <w:color w:val="999999"/>
              <w:sz w:val="20"/>
              <w:szCs w:val="20"/>
            </w:rPr>
            <w:t>excellent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157B4D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vynikající výkon pouze s malými chybami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157B4D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B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157B4D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1,5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157B4D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 xml:space="preserve">výborně minus (very </w:t>
          </w:r>
          <w:proofErr w:type="spellStart"/>
          <w:r>
            <w:rPr>
              <w:color w:val="999999"/>
              <w:sz w:val="20"/>
              <w:szCs w:val="20"/>
            </w:rPr>
            <w:t>good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157B4D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nad průměrným standardem, ale s chybami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157B4D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C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157B4D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2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157B4D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velmi dobře (</w:t>
          </w:r>
          <w:proofErr w:type="spellStart"/>
          <w:r>
            <w:rPr>
              <w:color w:val="999999"/>
              <w:sz w:val="20"/>
              <w:szCs w:val="20"/>
            </w:rPr>
            <w:t>good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157B4D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obecné vyznění práce s řadou zřetelných chyb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157B4D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D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157B4D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2,5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157B4D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velmi dobře minus (</w:t>
          </w:r>
          <w:proofErr w:type="spellStart"/>
          <w:r>
            <w:rPr>
              <w:color w:val="999999"/>
              <w:sz w:val="20"/>
              <w:szCs w:val="20"/>
            </w:rPr>
            <w:t>satisfactory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157B4D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přijatelný, ale s významnými chybami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157B4D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E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157B4D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3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157B4D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dobře (</w:t>
          </w:r>
          <w:proofErr w:type="spellStart"/>
          <w:r>
            <w:rPr>
              <w:color w:val="999999"/>
              <w:sz w:val="20"/>
              <w:szCs w:val="20"/>
            </w:rPr>
            <w:t>suffcient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157B4D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157B4D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FX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157B4D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-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157B4D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nevyhověl (</w:t>
          </w:r>
          <w:proofErr w:type="spellStart"/>
          <w:r>
            <w:rPr>
              <w:color w:val="999999"/>
              <w:sz w:val="20"/>
              <w:szCs w:val="20"/>
            </w:rPr>
            <w:t>fail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157B4D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je třeba v některých oblastech další práce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157B4D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F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157B4D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-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157B4D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nevyhověl (FAIL)</w:t>
          </w:r>
        </w:p>
        <w:p w:rsidR="00DF5EE2" w:rsidRDefault="00157B4D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DF5EE2" w:rsidRDefault="003958A3">
    <w:pPr>
      <w:rPr>
        <w:color w:val="999999"/>
      </w:rPr>
    </w:pPr>
  </w:p>
  <w:p w:rsidR="00DF5EE2" w:rsidRDefault="00157B4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E2" w:rsidRDefault="00157B4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 w:rsidR="00686279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E2" w:rsidRDefault="003958A3">
    <w:pPr>
      <w:rPr>
        <w:color w:val="999999"/>
      </w:rPr>
    </w:pPr>
  </w:p>
  <w:p w:rsidR="00DF5EE2" w:rsidRDefault="00157B4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 w:rsidR="000026ED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A3" w:rsidRDefault="003958A3">
      <w:r>
        <w:separator/>
      </w:r>
    </w:p>
  </w:footnote>
  <w:footnote w:type="continuationSeparator" w:id="0">
    <w:p w:rsidR="003958A3" w:rsidRDefault="00395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45"/>
    <w:rsid w:val="000026ED"/>
    <w:rsid w:val="00157B4D"/>
    <w:rsid w:val="001A3CDB"/>
    <w:rsid w:val="003958A3"/>
    <w:rsid w:val="005703F1"/>
    <w:rsid w:val="00686279"/>
    <w:rsid w:val="00A11D41"/>
    <w:rsid w:val="00BD30B9"/>
    <w:rsid w:val="00F5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EE2B-9947-405E-B196-B416F59C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59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F55945"/>
  </w:style>
  <w:style w:type="paragraph" w:customStyle="1" w:styleId="WW-NormlnsWWW">
    <w:name w:val="WW-Normální (síť WWW)"/>
    <w:basedOn w:val="Normln"/>
    <w:rsid w:val="00F55945"/>
    <w:pPr>
      <w:spacing w:before="280" w:after="119"/>
    </w:pPr>
  </w:style>
  <w:style w:type="paragraph" w:styleId="Zpat">
    <w:name w:val="footer"/>
    <w:basedOn w:val="Normln"/>
    <w:link w:val="ZpatChar"/>
    <w:rsid w:val="00F559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559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55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124D9-D8E4-4642-8D00-0ECEF465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Strnad</dc:creator>
  <cp:keywords/>
  <dc:description/>
  <cp:lastModifiedBy>Štěpán Strnad</cp:lastModifiedBy>
  <cp:revision>2</cp:revision>
  <dcterms:created xsi:type="dcterms:W3CDTF">2017-04-26T09:02:00Z</dcterms:created>
  <dcterms:modified xsi:type="dcterms:W3CDTF">2017-04-26T09:02:00Z</dcterms:modified>
</cp:coreProperties>
</file>