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>z. ú.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7D2306">
        <w:tab/>
        <w:t>Michaela Přibáňová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7D2306">
        <w:tab/>
        <w:t>Vývoj a úloha Zdravotnické záchranné služby Jihočeského kraje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A7625F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A7625F">
        <w:tab/>
      </w:r>
      <w:r w:rsidR="00A7625F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7D230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7D230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7D230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7D230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7D230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7D230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7D230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7D230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7D230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7D230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7D230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7D230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7D230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7D230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7D2306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6C6007" w:rsidRDefault="007D2306" w:rsidP="007D2306">
      <w:pPr>
        <w:pStyle w:val="Normlnweb"/>
        <w:spacing w:before="0" w:beforeAutospacing="0" w:after="0"/>
        <w:jc w:val="both"/>
      </w:pPr>
      <w:r>
        <w:t>Autorka se v bakalářské práci zaměřuje na vývoj a úlohu Zdravotnické záchranné služby Jihočeského kraje. Bakalářská práce je zpracována od obecných pohledů, kdy je řešeno postavení Zdravotnické záchranné služby Jihočeského kraje jako základní složky integrovaného záchranného systému</w:t>
      </w:r>
      <w:r w:rsidR="000F0CBA">
        <w:t>, ke konkrétním specifikům, kdy je popisováno zdravotnické a technické vybavení sanitních vozidel. V rámci praktické části je prováděno vlastní šetření pomocí polostrukturovaného rozhovoru, vyhodnocení výjezdů ZZS JčK a SWOT analýza. Detailněji je v ZZS JčK řešeno oblastní středisko Písek. Výsledky a vlastní zjištění jsou shrnuty v kap. 13 „Diskuze“. Kapitola „Závěr“ je očíslovaná, což je v nesouladu s příručkou pro psaní bakalářské práce na VŠERS.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0F0CBA" w:rsidP="00EF2B4B">
      <w:pPr>
        <w:pStyle w:val="Normlnweb"/>
        <w:numPr>
          <w:ilvl w:val="0"/>
          <w:numId w:val="1"/>
        </w:numPr>
        <w:spacing w:after="0"/>
      </w:pPr>
      <w:r>
        <w:t>Jaký je Váš názor na současné řešení zabezpečování letecké zdravotnické záchranné služby v Jihočeském kraji?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0F0CBA">
        <w:t xml:space="preserve"> 17. 4. 2017</w:t>
      </w:r>
      <w:bookmarkStart w:id="0" w:name="_GoBack"/>
      <w:bookmarkEnd w:id="0"/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85" w:rsidRDefault="00A23985">
      <w:r>
        <w:separator/>
      </w:r>
    </w:p>
  </w:endnote>
  <w:endnote w:type="continuationSeparator" w:id="0">
    <w:p w:rsidR="00A23985" w:rsidRDefault="00A2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F0CB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F0CB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85" w:rsidRDefault="00A23985">
      <w:r>
        <w:separator/>
      </w:r>
    </w:p>
  </w:footnote>
  <w:footnote w:type="continuationSeparator" w:id="0">
    <w:p w:rsidR="00A23985" w:rsidRDefault="00A2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B7617"/>
    <w:rsid w:val="000F0CBA"/>
    <w:rsid w:val="00195FF9"/>
    <w:rsid w:val="00221202"/>
    <w:rsid w:val="0025573E"/>
    <w:rsid w:val="00263DCF"/>
    <w:rsid w:val="00284870"/>
    <w:rsid w:val="002D7D55"/>
    <w:rsid w:val="002E1983"/>
    <w:rsid w:val="00362485"/>
    <w:rsid w:val="00375F53"/>
    <w:rsid w:val="003A73E5"/>
    <w:rsid w:val="00424AFF"/>
    <w:rsid w:val="0043295F"/>
    <w:rsid w:val="0044284E"/>
    <w:rsid w:val="00495433"/>
    <w:rsid w:val="004C239E"/>
    <w:rsid w:val="00505A93"/>
    <w:rsid w:val="00505F58"/>
    <w:rsid w:val="00527FDA"/>
    <w:rsid w:val="00557F5D"/>
    <w:rsid w:val="00561EBC"/>
    <w:rsid w:val="00582538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67FA0"/>
    <w:rsid w:val="00791A4C"/>
    <w:rsid w:val="007A04E3"/>
    <w:rsid w:val="007A7069"/>
    <w:rsid w:val="007D2306"/>
    <w:rsid w:val="008039F6"/>
    <w:rsid w:val="00881A50"/>
    <w:rsid w:val="00883756"/>
    <w:rsid w:val="009139FE"/>
    <w:rsid w:val="009A587B"/>
    <w:rsid w:val="00A13A92"/>
    <w:rsid w:val="00A149AD"/>
    <w:rsid w:val="00A23985"/>
    <w:rsid w:val="00A26EB7"/>
    <w:rsid w:val="00A309D3"/>
    <w:rsid w:val="00A3605C"/>
    <w:rsid w:val="00A416B9"/>
    <w:rsid w:val="00A55E37"/>
    <w:rsid w:val="00A612D7"/>
    <w:rsid w:val="00A7625F"/>
    <w:rsid w:val="00A85D64"/>
    <w:rsid w:val="00AA6E7B"/>
    <w:rsid w:val="00B21023"/>
    <w:rsid w:val="00BE4A35"/>
    <w:rsid w:val="00BE5582"/>
    <w:rsid w:val="00C55910"/>
    <w:rsid w:val="00CC4CC8"/>
    <w:rsid w:val="00CD5701"/>
    <w:rsid w:val="00D55527"/>
    <w:rsid w:val="00D6400C"/>
    <w:rsid w:val="00D745EC"/>
    <w:rsid w:val="00E64863"/>
    <w:rsid w:val="00EA722E"/>
    <w:rsid w:val="00ED3CB9"/>
    <w:rsid w:val="00E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EF17D"/>
  <w15:chartTrackingRefBased/>
  <w15:docId w15:val="{824077E0-FE54-45A0-9861-776310D1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3</cp:revision>
  <cp:lastPrinted>2015-07-23T11:39:00Z</cp:lastPrinted>
  <dcterms:created xsi:type="dcterms:W3CDTF">2017-04-16T08:08:00Z</dcterms:created>
  <dcterms:modified xsi:type="dcterms:W3CDTF">2017-04-16T08:27:00Z</dcterms:modified>
</cp:coreProperties>
</file>