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07F06">
        <w:t xml:space="preserve"> </w:t>
      </w:r>
      <w:r w:rsidR="00107F06" w:rsidRPr="00107F06">
        <w:rPr>
          <w:b/>
        </w:rPr>
        <w:t xml:space="preserve">Vilém </w:t>
      </w:r>
      <w:proofErr w:type="spellStart"/>
      <w:r w:rsidR="00107F06" w:rsidRPr="00107F06">
        <w:rPr>
          <w:b/>
        </w:rPr>
        <w:t>Nepožitek</w:t>
      </w:r>
      <w:proofErr w:type="spellEnd"/>
    </w:p>
    <w:p w:rsidR="00883756" w:rsidRPr="00107F06" w:rsidRDefault="00883756">
      <w:pPr>
        <w:pStyle w:val="Normlnweb"/>
        <w:spacing w:after="0"/>
        <w:rPr>
          <w:b/>
        </w:rPr>
      </w:pPr>
      <w:r>
        <w:rPr>
          <w:b/>
          <w:bCs/>
        </w:rPr>
        <w:t>Název bakalářské práce</w:t>
      </w:r>
      <w:r w:rsidRPr="00107F06">
        <w:rPr>
          <w:b/>
        </w:rPr>
        <w:t>:</w:t>
      </w:r>
      <w:r w:rsidR="00107F06" w:rsidRPr="00107F06">
        <w:rPr>
          <w:b/>
        </w:rPr>
        <w:t xml:space="preserve"> Internet a rizika sociálních sítí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107F06">
        <w:t>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107F06">
        <w:t xml:space="preserve"> 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331A8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331A8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26399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F2B4B" w:rsidRDefault="0026399A" w:rsidP="004A1A35">
      <w:pPr>
        <w:pStyle w:val="Normlnweb"/>
        <w:spacing w:before="0" w:beforeAutospacing="0" w:after="0"/>
        <w:ind w:firstLine="708"/>
      </w:pPr>
      <w:r>
        <w:t xml:space="preserve">Práce je na velmi dobré úrovni a je </w:t>
      </w:r>
      <w:proofErr w:type="gramStart"/>
      <w:r>
        <w:t>zdařilým  výsledkem</w:t>
      </w:r>
      <w:proofErr w:type="gramEnd"/>
      <w:r>
        <w:t xml:space="preserve"> profesně zaměřeného bakalářského studia</w:t>
      </w:r>
      <w:r w:rsidR="004A1A35">
        <w:t xml:space="preserve"> v oboru bezpečnostně právních činností</w:t>
      </w:r>
      <w:r>
        <w:t xml:space="preserve">. Student prokázal podrobnou znalost zadaného tématu práce, schopnost </w:t>
      </w:r>
      <w:r w:rsidR="0000272C">
        <w:t xml:space="preserve">samostatné práce s relevantními literárními prameny, včetně analýzy nově získaných údajů během jím provedeného dotazníkového šetření. Práce je dobře členěna a jednotlivé </w:t>
      </w:r>
      <w:r w:rsidR="00FE5785">
        <w:t>statě</w:t>
      </w:r>
      <w:r w:rsidR="0000272C">
        <w:t xml:space="preserve"> na sebe logicky navazují. Až na malé výjimky je práce stylisticky čistá a jazykově celkem bez podstatných chyb. </w:t>
      </w:r>
      <w:r w:rsidR="00FE5785">
        <w:t xml:space="preserve">Velkým pozitivem práce je její srozumitelnost. </w:t>
      </w:r>
      <w:r w:rsidR="0000272C">
        <w:t>Výsledky dotazníkového šetření jsou zajímavé a vzhledem k dostatečně velkému souboru dat jsou i věrohodné.</w:t>
      </w:r>
      <w:r w:rsidR="00FE5785">
        <w:t xml:space="preserve"> </w:t>
      </w:r>
    </w:p>
    <w:p w:rsidR="00080C8D" w:rsidRDefault="00080C8D" w:rsidP="00080C8D">
      <w:pPr>
        <w:pStyle w:val="Normlnweb"/>
        <w:spacing w:before="0" w:beforeAutospacing="0" w:after="0"/>
        <w:rPr>
          <w:b/>
        </w:rPr>
      </w:pPr>
    </w:p>
    <w:p w:rsidR="00080C8D" w:rsidRPr="00080C8D" w:rsidRDefault="00080C8D" w:rsidP="00080C8D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</w:p>
    <w:p w:rsidR="00080C8D" w:rsidRPr="00080C8D" w:rsidRDefault="00080C8D" w:rsidP="00080C8D">
      <w:pPr>
        <w:pStyle w:val="Normlnweb"/>
        <w:spacing w:before="0" w:beforeAutospacing="0" w:after="0"/>
        <w:rPr>
          <w:b/>
        </w:rPr>
      </w:pPr>
      <w:proofErr w:type="gramStart"/>
      <w:r w:rsidRPr="00080C8D">
        <w:rPr>
          <w:b/>
        </w:rPr>
        <w:t xml:space="preserve">Práce </w:t>
      </w:r>
      <w:r>
        <w:rPr>
          <w:b/>
        </w:rPr>
        <w:t xml:space="preserve"> „</w:t>
      </w:r>
      <w:r w:rsidRPr="004A1A35">
        <w:rPr>
          <w:b/>
        </w:rPr>
        <w:t>Internet</w:t>
      </w:r>
      <w:proofErr w:type="gramEnd"/>
      <w:r w:rsidRPr="004A1A35">
        <w:rPr>
          <w:b/>
        </w:rPr>
        <w:t xml:space="preserve"> a rizika sociálních sítí</w:t>
      </w:r>
      <w:r>
        <w:rPr>
          <w:b/>
        </w:rPr>
        <w:t>“</w:t>
      </w:r>
      <w:r w:rsidRPr="004A1A35">
        <w:rPr>
          <w:b/>
        </w:rPr>
        <w:t xml:space="preserve"> autora Viléma</w:t>
      </w:r>
      <w:r>
        <w:t xml:space="preserve"> </w:t>
      </w:r>
      <w:proofErr w:type="spellStart"/>
      <w:r w:rsidRPr="004A1A35">
        <w:rPr>
          <w:b/>
        </w:rPr>
        <w:t>Nepožitka</w:t>
      </w:r>
      <w:proofErr w:type="spellEnd"/>
      <w:r w:rsidRPr="00080C8D">
        <w:rPr>
          <w:b/>
        </w:rPr>
        <w:t xml:space="preserve"> splňuje zákonem předepsané požadavky na bakalářskou práci,  proto ji doporučuji k obhajobě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FE5785" w:rsidP="00EF2B4B">
      <w:pPr>
        <w:pStyle w:val="Normlnweb"/>
        <w:numPr>
          <w:ilvl w:val="0"/>
          <w:numId w:val="1"/>
        </w:numPr>
        <w:spacing w:after="0"/>
      </w:pPr>
      <w:r>
        <w:t>Jak hodnotíte</w:t>
      </w:r>
      <w:r w:rsidR="00080C8D">
        <w:t xml:space="preserve"> </w:t>
      </w:r>
      <w:proofErr w:type="gramStart"/>
      <w:r w:rsidR="00080C8D">
        <w:t xml:space="preserve">eventuelní </w:t>
      </w:r>
      <w:r>
        <w:t xml:space="preserve"> možnosti</w:t>
      </w:r>
      <w:proofErr w:type="gramEnd"/>
      <w:r>
        <w:t xml:space="preserve"> regulace </w:t>
      </w:r>
      <w:r w:rsidR="004A1A35">
        <w:t xml:space="preserve">obsahu komunikace </w:t>
      </w:r>
      <w:r>
        <w:t xml:space="preserve"> na sociálních sítích, aniž by docházelo k omezování zaručených osobních svobod občana?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4A1A35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4A1A35">
        <w:t xml:space="preserve"> 29. dubna 2019</w:t>
      </w:r>
      <w:r w:rsidR="006A0CE6">
        <w:t xml:space="preserve"> 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</w:p>
    <w:p w:rsidR="00EB5604" w:rsidRDefault="00EB5604">
      <w:pPr>
        <w:pStyle w:val="Normlnweb"/>
        <w:spacing w:after="0"/>
      </w:pPr>
      <w:r>
        <w:t>Doc. Ing. Oldřich Pekárek, CSc.</w:t>
      </w:r>
    </w:p>
    <w:p w:rsidR="00EB5604" w:rsidRDefault="00EB5604" w:rsidP="00EB5604">
      <w:pPr>
        <w:pStyle w:val="Normlnweb"/>
        <w:spacing w:before="0" w:beforeAutospacing="0" w:after="0"/>
      </w:pPr>
      <w:r>
        <w:t>opekarek@o2active.cz</w:t>
      </w:r>
    </w:p>
    <w:p w:rsidR="00883756" w:rsidRDefault="00883756" w:rsidP="00EB5604">
      <w:pPr>
        <w:pStyle w:val="Normlnweb"/>
        <w:spacing w:before="0" w:beforeAutospacing="0" w:after="0"/>
      </w:pPr>
    </w:p>
    <w:p w:rsidR="00883756" w:rsidRDefault="00883756">
      <w:pPr>
        <w:pStyle w:val="Normlnweb"/>
        <w:spacing w:after="0" w:line="360" w:lineRule="auto"/>
        <w:rPr>
          <w:i/>
          <w:iCs/>
        </w:rPr>
      </w:pPr>
    </w:p>
    <w:p w:rsidR="00883756" w:rsidRDefault="00883756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 w:rsidP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EB" w:rsidRDefault="000037EB" w:rsidP="00F7522C">
      <w:pPr>
        <w:pStyle w:val="Normlnweb"/>
      </w:pPr>
      <w:r>
        <w:separator/>
      </w:r>
    </w:p>
  </w:endnote>
  <w:endnote w:type="continuationSeparator" w:id="0">
    <w:p w:rsidR="000037EB" w:rsidRDefault="000037EB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ED2E18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31A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ED2E18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31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EB" w:rsidRDefault="000037EB" w:rsidP="00F7522C">
      <w:pPr>
        <w:pStyle w:val="Normlnweb"/>
      </w:pPr>
      <w:r>
        <w:separator/>
      </w:r>
    </w:p>
  </w:footnote>
  <w:footnote w:type="continuationSeparator" w:id="0">
    <w:p w:rsidR="000037EB" w:rsidRDefault="000037EB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272C"/>
    <w:rsid w:val="000037EB"/>
    <w:rsid w:val="00047B96"/>
    <w:rsid w:val="000755A4"/>
    <w:rsid w:val="00080C8D"/>
    <w:rsid w:val="000A115F"/>
    <w:rsid w:val="00107F06"/>
    <w:rsid w:val="00111754"/>
    <w:rsid w:val="0024566E"/>
    <w:rsid w:val="0026399A"/>
    <w:rsid w:val="00284870"/>
    <w:rsid w:val="002C6F1F"/>
    <w:rsid w:val="002E1983"/>
    <w:rsid w:val="00323CEC"/>
    <w:rsid w:val="00422FC7"/>
    <w:rsid w:val="004331A8"/>
    <w:rsid w:val="0046540C"/>
    <w:rsid w:val="004A1A35"/>
    <w:rsid w:val="005B45C5"/>
    <w:rsid w:val="005D6348"/>
    <w:rsid w:val="006A0CE6"/>
    <w:rsid w:val="006C6408"/>
    <w:rsid w:val="006D0801"/>
    <w:rsid w:val="0070126A"/>
    <w:rsid w:val="00787018"/>
    <w:rsid w:val="007B56D9"/>
    <w:rsid w:val="00847600"/>
    <w:rsid w:val="00883756"/>
    <w:rsid w:val="008E68D0"/>
    <w:rsid w:val="00937737"/>
    <w:rsid w:val="00A3605C"/>
    <w:rsid w:val="00B3431A"/>
    <w:rsid w:val="00B83714"/>
    <w:rsid w:val="00BE5582"/>
    <w:rsid w:val="00CC4CC8"/>
    <w:rsid w:val="00D7389C"/>
    <w:rsid w:val="00EB5604"/>
    <w:rsid w:val="00ED2E18"/>
    <w:rsid w:val="00ED3CB9"/>
    <w:rsid w:val="00EF2B4B"/>
    <w:rsid w:val="00F7522C"/>
    <w:rsid w:val="00FE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B34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4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2019-05-02T05:35:00Z</cp:lastPrinted>
  <dcterms:created xsi:type="dcterms:W3CDTF">2019-05-02T05:36:00Z</dcterms:created>
  <dcterms:modified xsi:type="dcterms:W3CDTF">2019-05-02T05:36:00Z</dcterms:modified>
</cp:coreProperties>
</file>